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19604-2025 i Strömsunds kommun</w:t>
      </w:r>
    </w:p>
    <w:p>
      <w:r>
        <w:t>Detta dokument behandlar höga naturvärden i avverkningsanmälan A 19604-2025 i Strömsunds kommun. Denna avverkningsanmälan inkom 2025-04-23 och omfattar 14,0 ha.</w:t>
      </w:r>
    </w:p>
    <w:p>
      <w:r>
        <w:t>Nedan presenteras fynd av naturvårdsarter och fridlysta arter som gjorts i det avverkningsanmälda området, samt relevanta utdrag ur standarderna för FSC, Chain of Custody, Controlled Wood och PEFC. I BILAGA 1 finns artfakta om fridlysta och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22 naturvårdsarter hittats: fläckporing (VU), gräddporing (VU), blågrå svartspik (NT), brunpudrad nållav (NT), dvärgbägarlav (NT), gammelgransskål (NT), garnlav (NT), kolflarnlav (NT), kortskaftad ärgspik (NT), lunglav (NT), mörk kolflarnlav (NT), nordtagging (NT), skrovellav (NT), tretåig hackspett (NT, §4), ullticka (NT), vedflamlav (NT), vedskivlav (NT), vedtrappmossa (NT), vitgrynig nållav (NT), dropptaggsvamp (S), rostfläck (S) och skinnlav (S). Av dessa är 19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63016"/>
            <wp:docPr id="1" name="Picture 1"/>
            <wp:cNvGraphicFramePr>
              <a:graphicFrameLocks noChangeAspect="1"/>
            </wp:cNvGraphicFramePr>
            <a:graphic>
              <a:graphicData uri="http://schemas.openxmlformats.org/drawingml/2006/picture">
                <pic:pic>
                  <pic:nvPicPr>
                    <pic:cNvPr id="0" name="A 19604-2025 karta.png"/>
                    <pic:cNvPicPr/>
                  </pic:nvPicPr>
                  <pic:blipFill>
                    <a:blip r:embed="rId16"/>
                    <a:stretch>
                      <a:fillRect/>
                    </a:stretch>
                  </pic:blipFill>
                  <pic:spPr>
                    <a:xfrm>
                      <a:off x="0" y="0"/>
                      <a:ext cx="5486400" cy="446301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7059634, E 527836 i SWEREF 99 TM.</w:t>
      </w:r>
    </w:p>
    <w:p>
      <w:r>
        <w:rPr>
          <w:b/>
        </w:rPr>
        <w:t>Blågrå svartspik (NT)</w:t>
      </w:r>
      <w:r>
        <w:t xml:space="preserve"> växer på torr, hård ved av gamla, solbelysta torrakor, högstubbar av tall och grova döda grenar på levande tallar i öppna bestånd av naturskogskaraktär. Nästan alltid rör det sig om tjärrika torrträd och högstubbar (töreved, keloträd) som kan vara en bra bit över hundra år, i vissa fall sannolikt hundratals år gamla. Skogsbruk är idag det allvarligaste hotet. Ett långsiktigt hot är att nybildningen av gamla torrakor och högstubbar är en långsam process vilken ofta är beroende av skogsbrand. Nytt substrat bildas numera sannolikt nästan inte alls då antalet naturliga skogsbränder har minskat drastiskt på grund av effektivare brandbekämpning. Döda träd som lämnas efter avverkning är inte lämpliga för arten, eftersom dessa träd inte varit utsatta för skogsbrand och bildat tjärrik ved. Skogsbruksåtgärder på eller i närheten av växtplatserna bör undvikas. Naturskogsartade skogar med förekomst av arten indikerar höga biologiska värden och bör bevaras. Blågrå svartspik har en mycket begränsad utbredning utanför de nordiska länderna varför dessa länder har ett speciellt ansvar för arten (SLU Artdatabanken, 2024).</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(SLU Artdatabanken, 2024; Nitare &amp; Skogsstyrelsen, 2019).</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(SLU Artdatabanken, 2024; Nitare &amp; Skogsstyrelsen, 2019).</w:t>
      </w:r>
    </w:p>
    <w:p>
      <w:r>
        <w:rPr>
          <w:b/>
        </w:rPr>
        <w:t>Fläckporing (VU)</w:t>
      </w:r>
      <w:r>
        <w:t xml:space="preserve"> är en mycket bra signalart som visar på tallnaturskogar med höga naturvärden. Den är placerad högst upp i Skogsstyrelsens värdepyramid för bedömning av skog med höga naturvärden och indikerar områden som är mer eller mindre opåverkade av skogsbruk och där det funnits en kontinuitet av tallågor i olika nedbrytningsstadier. För att på lång sikt bibehålla livskraftiga populationer i ett område behövs troligen större skyddade områden som tillåter att man upprätthåller en naturlig branddynamik (SLU Artdatabanken, 2024;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(SLU Artdatabanken, 2024; Nitare &amp; Skogsstyrelsen, 2019).</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(SLU Artdatabanken, 2024).</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r>
        <w:rPr>
          <w:b/>
        </w:rPr>
        <w:t xml:space="preserve">Skinnlav </w:t>
      </w:r>
      <w:r>
        <w:t>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en sällsynt parasitsvamp med rödbruna apothecier, skrovellavsknapp </w:t>
      </w:r>
      <w:r>
        <w:rPr>
          <w:i/>
        </w:rPr>
        <w:t>Plectocarpon scrobiculatae</w:t>
      </w:r>
      <w:r>
        <w:t xml:space="preserve"> (EN)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(SLU Artdatabanken, 2024).</w:t>
      </w:r>
    </w:p>
    <w:p>
      <w:r>
        <w:rPr>
          <w:b/>
        </w:rPr>
        <w:t xml:space="preserve">Vedtrappmossa (NT) </w:t>
      </w:r>
      <w:r>
        <w:t>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(SLU Artdatabanken, 2024).</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avverkningsanmälda skogsområdet har 22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22 naturvårdsarter varav 19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2025-06-15</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