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41447-2020 i Strömsunds kommun</w:t>
      </w:r>
    </w:p>
    <w:p>
      <w:r>
        <w:t>Detta dokument behandlar höga naturvärden i avverkningsanmälan A 41447-2020 i Strömsunds kommun. Denna avverkningsanmälan inkom 2020-08-30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Agathidium pallidum (VU), Atomaria abietina (VU), knärot (VU, §8), suturfläckad mycelbagge (VU), Atheta taxiceroides (NT), Atomaria affinis (NT), Corticaria interstitialis (NT), Corticaria obsoleta (NT), Epuraea oblonga (NT), granbarkmögelbagge (NT), lunglav (NT), Quedius lundbergi (NT), Scaphisoma subalpinum (NT), skrovellav (NT), svartvit flugsnappare (NT, §4), aspvedgnagare (S), brun granbastborre (S), Dorcatoma dresdensis (S), robust tickgnagare (S) och vanlig flatbagge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1747"/>
            <wp:docPr id="1" name="Picture 1"/>
            <wp:cNvGraphicFramePr>
              <a:graphicFrameLocks noChangeAspect="1"/>
            </wp:cNvGraphicFramePr>
            <a:graphic>
              <a:graphicData uri="http://schemas.openxmlformats.org/drawingml/2006/picture">
                <pic:pic>
                  <pic:nvPicPr>
                    <pic:cNvPr id="0" name="A 41447-2020 karta.png"/>
                    <pic:cNvPicPr/>
                  </pic:nvPicPr>
                  <pic:blipFill>
                    <a:blip r:embed="rId16"/>
                    <a:stretch>
                      <a:fillRect/>
                    </a:stretch>
                  </pic:blipFill>
                  <pic:spPr>
                    <a:xfrm>
                      <a:off x="0" y="0"/>
                      <a:ext cx="5486400" cy="3671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7123501, E 517721 i SWEREF 99 TM.</w:t>
      </w:r>
    </w:p>
    <w:p>
      <w:r>
        <w:rPr>
          <w:b/>
          <w:i/>
        </w:rPr>
        <w:t>Agathidium pallidum</w:t>
      </w:r>
      <w:r>
        <w:rPr>
          <w:b/>
        </w:rPr>
        <w:t xml:space="preserve"> (VU) </w:t>
      </w:r>
      <w:r>
        <w:t>är en skalbagge vars larvutveckling förmodligen är knuten till slemsvampar växande på svampig ved, främst av björk, men arten har även påträffats i anslutning till andra trädslag främst asp och gran. Ofta i tät, fuktig, björkinblandad granskog. En fortsatt negativ trend för naturskog hotar arten. Lokaler med gammal björkskog behöver skyddas (SLU Artdatabanken, 2024).</w:t>
      </w:r>
    </w:p>
    <w:p>
      <w:r>
        <w:rPr>
          <w:b/>
          <w:i/>
        </w:rPr>
        <w:t xml:space="preserve">Atheta taxiceroides </w:t>
      </w:r>
      <w:r>
        <w:rPr>
          <w:b/>
        </w:rPr>
        <w:t>(NT)</w:t>
      </w:r>
      <w:r>
        <w:t xml:space="preserve"> är en långsmal kortvinge vars biologi är dåligt känd. Den är ofta påträffad i på/vid lövträd, bl.a. i mulm i grov ihålig asp, på trädsvampar, i förna under björkstam och vid savflöden, bl.a. på björk. Eftersom arten framför allt påträffats i association med skador på lövträd (asp och björk) är sannolikt avverkning av äldre lövträd det största hotet. Bevara områden med grova aspar och björkar i Norrland (SLU Artdatabanken, 2024).</w:t>
      </w:r>
    </w:p>
    <w:p>
      <w:r>
        <w:rPr>
          <w:b/>
          <w:i/>
        </w:rPr>
        <w:t xml:space="preserve">Atomaria abietina </w:t>
      </w:r>
      <w:r>
        <w:rPr>
          <w:b/>
        </w:rPr>
        <w:t>(VU)</w:t>
      </w:r>
      <w:r>
        <w:t xml:space="preserve"> är en skogslevande fuktbagge som främst påträffas under barken på gamla granstubbar och lågor med trädsvampar, särskilt klibbticka och violticka. Arten är knuten till mer eller mindre naturskogsliknande granskogar. Urskogsliknande granbestånd i norra och mellersta Sverige bör i största möjliga utsträckning avsättas som reservat (SLU Artdatabanken, 2024).</w:t>
      </w:r>
    </w:p>
    <w:p>
      <w:r>
        <w:rPr>
          <w:b/>
          <w:i/>
        </w:rPr>
        <w:t>Corticaria interstitialis</w:t>
      </w:r>
      <w:r>
        <w:rPr>
          <w:b/>
        </w:rPr>
        <w:t xml:space="preserve"> (NT)</w:t>
      </w:r>
      <w:r>
        <w:t xml:space="preserve"> är en skogslevande mögelbagge som framförallt hittas i lövrika naturskogar i Norrlands inland. Arten påträffas under bark, i mycelrik ved och på vedsvampar på döda träd, främst asp och björk, och ibland även i förna. Genom artens anknytning till mer naturlig lövrik skog så hotas den av skogsbruk. Fler naturskogsområden behöver skyddas (SLU Artdatabanken, 2024).</w:t>
      </w:r>
    </w:p>
    <w:p>
      <w:r>
        <w:rPr>
          <w:b/>
          <w:i/>
        </w:rPr>
        <w:t>Corticaria obsoleta</w:t>
      </w:r>
      <w:r>
        <w:rPr>
          <w:b/>
        </w:rPr>
        <w:t xml:space="preserve"> (NT)</w:t>
      </w:r>
      <w:r>
        <w:t xml:space="preserve"> är en mögelbagge vars larver lever av olika mögelsvampar. Arten är knuten till naturskogsartade barrskogar. Den har hittats under torr bark på gamla, nydöda granar, men utvecklas troligen även på tall. Flera fynd är från brandfält i eller intill urskogsartad skog. Arten hotas av den pågående minskningen av sammanhängande naturskogar i Norrlands inland. Fler sammanhängande naturskogar utanför det fjällnära området behöver bevaras i Norrlands inland (SLU Artdatabanken, 2024).</w:t>
      </w:r>
    </w:p>
    <w:p>
      <w:r>
        <w:rPr>
          <w:b/>
        </w:rPr>
        <w:t>Granbarkmögelbagge (NT)</w:t>
      </w:r>
      <w:r>
        <w:t xml:space="preserve"> är en skalbagge vars larvutveckling sker under svampig bark på gran, oftast grova lågor och stubbar eller vid basen av levande, grovbarkiga träd, helst i slutna bestånd. Arten hotas av minskande mängd naturskog, fler grannaturskogar behöver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i/>
        </w:rPr>
        <w:t xml:space="preserve">Scaphisoma subalpinum </w:t>
      </w:r>
      <w:r>
        <w:rPr>
          <w:b/>
        </w:rPr>
        <w:t>(NT)</w:t>
      </w:r>
      <w:r>
        <w:t xml:space="preserve"> är en kortvinge som främst påträffas i lövrika naturskogsmiljöer med mycket fnösktickor. Arten främst är knuten till naturskogsbestånd med ett kontinuerligt inslag av död ved från grövre lövträd och rik tillgång på trädsvampar. De främsta hoten är avverkning bestånd av denna typ och bortforsling av död ved. I första hand behöver skogsbestånd med grövre lövträd och tillgång på död ved bevaras. Det är viktigt att det finns en kontinuerlig tillgång på död svampbeväxt ved. I parker är det viktigt att död ved får vara kvar inom området så att svampar kan utvecklas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Suturfläckad mycelbagge (VU)</w:t>
      </w:r>
      <w:r>
        <w:t xml:space="preserve"> lever på trädsvampar, förmodligen främst resupinata tickor och slemsvampar, på lågor och stubbar av olika trädslag, särskilt asp men även björk, gran och tall. Arten är hotad genom att den har ett specifikt levnadssätt och tycks vara knuten till urskogsliknande skogsbestånd. Gamla, tämligen orörda aspdominerade blandbestånd i norra och mellersta Sverige bör bevaras intakta. De utgör nyckelbiotoper som är ovärderliga för såväl denna som många andra hotade arter (SLU Artdatabanken, 2024).</w:t>
      </w:r>
    </w:p>
    <w:p>
      <w:pPr>
        <w:pStyle w:val="Heading1"/>
      </w:pPr>
      <w:r>
        <w:t>Fridlysta arter</w:t>
      </w:r>
    </w:p>
    <w:p>
      <w:r>
        <w:t>Följande fridlysta arter har sina livsmiljöer och växtplatser i den avverkningsanmälda skogen: knärot (VU, §8)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4416994"/>
            <wp:docPr id="2" name="Picture 2"/>
            <wp:cNvGraphicFramePr>
              <a:graphicFrameLocks noChangeAspect="1"/>
            </wp:cNvGraphicFramePr>
            <a:graphic>
              <a:graphicData uri="http://schemas.openxmlformats.org/drawingml/2006/picture">
                <pic:pic>
                  <pic:nvPicPr>
                    <pic:cNvPr id="0" name="A 41447-2020 karta knärot.png"/>
                    <pic:cNvPicPr/>
                  </pic:nvPicPr>
                  <pic:blipFill>
                    <a:blip r:embed="rId17"/>
                    <a:stretch>
                      <a:fillRect/>
                    </a:stretch>
                  </pic:blipFill>
                  <pic:spPr>
                    <a:xfrm>
                      <a:off x="0" y="0"/>
                      <a:ext cx="5486400" cy="44169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7123501, E 517721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