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19167-2026 i Strömsunds kommun</w:t>
      </w:r>
    </w:p>
    <w:p>
      <w:r>
        <w:t>Detta klagomål behandlar höga naturvärden i avverkningsanmälan A 19167-2026 i Strömsunds kommun som inkom 2026-04-20 och omfattar 52,9 ha.</w:t>
      </w:r>
    </w:p>
    <w:p>
      <w:pPr>
        <w:pStyle w:val="Caption"/>
      </w:pPr>
      <w:r>
        <w:drawing>
          <wp:inline xmlns:a="http://schemas.openxmlformats.org/drawingml/2006/main" xmlns:pic="http://schemas.openxmlformats.org/drawingml/2006/picture">
            <wp:extent cx="5486400" cy="3832939"/>
            <wp:docPr id="1" name="Picture 1"/>
            <wp:cNvGraphicFramePr>
              <a:graphicFrameLocks noChangeAspect="1"/>
            </wp:cNvGraphicFramePr>
            <a:graphic>
              <a:graphicData uri="http://schemas.openxmlformats.org/drawingml/2006/picture">
                <pic:pic>
                  <pic:nvPicPr>
                    <pic:cNvPr id="0" name="A 19167-2026 karta.png"/>
                    <pic:cNvPicPr/>
                  </pic:nvPicPr>
                  <pic:blipFill>
                    <a:blip r:embed="rId16"/>
                    <a:stretch>
                      <a:fillRect/>
                    </a:stretch>
                  </pic:blipFill>
                  <pic:spPr>
                    <a:xfrm>
                      <a:off x="0" y="0"/>
                      <a:ext cx="5486400" cy="38329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7174675, E 510798 i SWEREF 99 TM.</w:t>
      </w:r>
    </w:p>
    <w:p>
      <w:r>
        <w:t>I avverkningsanmälan finns fynd av 10 naturvårdsarter, varav 8 är rödlistade, 10 är typiska (T) och 2 är signalarter (S): gränsticka (VU, T), ostticka (VU, T), doftskinn (NT, T), harticka (NT, T), rosenticka (NT, T), stjärntagging (NT, T), ullticka (NT, T), violmussling (NT, T), blodticka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