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21091-2022 i Strömsunds kommun</w:t>
      </w:r>
    </w:p>
    <w:p>
      <w:r>
        <w:t>Detta dokument behandlar höga naturvärden i avverkningsanmälan A 21091-2022 i Strömsunds kommun. Denna avverkningsanmälan inkom 2022-05-18 00:00:00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r>
        <w:rPr>
          <w:b/>
        </w:rPr>
        <w:t>Kransrams</w:t>
      </w:r>
      <w:r>
        <w:t xml:space="preserve"> är typisk art för </w:t>
      </w:r>
      <w:r>
        <w:rPr>
          <w:i/>
        </w:rPr>
        <w:t xml:space="preserve">9020 Nordlig ädellövskog </w:t>
      </w:r>
      <w:r>
        <w:t>(SLU Artdatabanken, 2025).</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skogsrör (§7) och mattlummer (§9).</w:t>
      </w:r>
    </w:p>
    <w:p>
      <w:r>
        <w:rPr>
          <w:b/>
        </w:rPr>
        <w:t>Mattlummer (§9)</w:t>
      </w:r>
      <w:r>
        <w:t xml:space="preserve"> är typisk art för </w:t>
      </w:r>
      <w:r>
        <w:rPr>
          <w:i/>
        </w:rPr>
        <w:t xml:space="preserve">9010 Taiga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