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37713-2025 i Strömsunds kommun</w:t>
      </w:r>
    </w:p>
    <w:p>
      <w:r>
        <w:t>Detta dokument behandlar höga naturvärden i avverkningsanmälan A 37713-2025 i Strömsunds kommun. Denna avverkningsanmälan inkom 2025-08-11 14:27:41 och omfattar 96,6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50 naturvårdsarter hittats: doftticka (VU, §8), knärot (VU, §8), norsk näverlav (VU), sprickporing (VU), ulltickeporing (VU), blå taggsvamp (NT), brunpudrad nållav (NT), doftskinn (NT), dvärgbägarlav (NT), garnlav (NT), granticka (NT), gränsticka (NT), järpe (NT, §4), kolflarnlav (NT), luddfingersvamp (NT), lunglav (NT), mörk kolflarnlav (NT), nordtagging (NT), orange taggsvamp (NT), rosenticka (NT), skrovellav (NT), spillkråka (NT, §4), stjärntagging (NT), talltita (NT, §4), tretåig hackspett (NT, §4), ullticka (NT), vedskivlav (NT), vedtrappmossa (NT), vitgrynig nållav (NT), bårdlav (S), dropptaggsvamp (S), gulnål (S), klippfrullania (S), kransrams (S), luddlav (S), norrlandslav (S), plattlummer (S, §9), skarp dropptaggsvamp (S), skinnlav (S), slanklav (S), spindelblomster (S, §8), stor aspticka (S), stuplav (S), trådticka (S), vanlig flatbagge (S), vedticka (S), vågbandad barkbock (S), tjäder (§4), fläcknycklar (§8) och revlummer (§9).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4332"/>
            <wp:docPr id="1" name="Picture 1"/>
            <wp:cNvGraphicFramePr>
              <a:graphicFrameLocks noChangeAspect="1"/>
            </wp:cNvGraphicFramePr>
            <a:graphic>
              <a:graphicData uri="http://schemas.openxmlformats.org/drawingml/2006/picture">
                <pic:pic>
                  <pic:nvPicPr>
                    <pic:cNvPr id="0" name="A 37713-2025 karta.png"/>
                    <pic:cNvPicPr/>
                  </pic:nvPicPr>
                  <pic:blipFill>
                    <a:blip r:embed="rId16"/>
                    <a:stretch>
                      <a:fillRect/>
                    </a:stretch>
                  </pic:blipFill>
                  <pic:spPr>
                    <a:xfrm>
                      <a:off x="0" y="0"/>
                      <a:ext cx="5486400" cy="3774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7090459, E 514388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Kransrams</w:t>
      </w:r>
      <w:r>
        <w:t xml:space="preserve"> är typisk art för </w:t>
      </w:r>
      <w:r>
        <w:rPr>
          <w:i/>
        </w:rPr>
        <w:t xml:space="preserve">9020 Nordlig ädellövskog </w:t>
      </w:r>
      <w:r>
        <w:t>(SLU Artdatabanken, 2025).</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Slanklav</w:t>
      </w:r>
      <w:r>
        <w:t xml:space="preserve"> är typisk art för </w:t>
      </w:r>
      <w:r>
        <w:rPr>
          <w:i/>
        </w:rPr>
        <w:t xml:space="preserve">9020 Nordlig ädellövskog, 9180 Ädellövskog i branter, 9070 Trädklädd betesmark </w:t>
      </w:r>
      <w:r>
        <w:t xml:space="preserve">och </w:t>
      </w:r>
      <w:r>
        <w:rPr>
          <w:i/>
        </w:rPr>
        <w:t xml:space="preserve">8230 Hällmarkstorräng </w:t>
      </w:r>
      <w:r>
        <w:t>(SLU Artdatabanken, 2025).</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knärot (VU, §8), järpe (NT, §4), spillkråka (NT, §4), talltita (NT, §4), tretåig hackspett (NT, §4), plattlummer (S, §9), spindelblomster (S, §8),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1.06 ha med buffertzonerna och får av detta skäl inte avverkas.</w:t>
      </w:r>
    </w:p>
    <w:p>
      <w:pPr>
        <w:pStyle w:val="Caption"/>
      </w:pPr>
      <w:r>
        <w:drawing>
          <wp:inline xmlns:a="http://schemas.openxmlformats.org/drawingml/2006/main" xmlns:pic="http://schemas.openxmlformats.org/drawingml/2006/picture">
            <wp:extent cx="5486400" cy="5508772"/>
            <wp:docPr id="2" name="Picture 2"/>
            <wp:cNvGraphicFramePr>
              <a:graphicFrameLocks noChangeAspect="1"/>
            </wp:cNvGraphicFramePr>
            <a:graphic>
              <a:graphicData uri="http://schemas.openxmlformats.org/drawingml/2006/picture">
                <pic:pic>
                  <pic:nvPicPr>
                    <pic:cNvPr id="0" name="A 37713-2025 karta knärot.png"/>
                    <pic:cNvPicPr/>
                  </pic:nvPicPr>
                  <pic:blipFill>
                    <a:blip r:embed="rId17"/>
                    <a:stretch>
                      <a:fillRect/>
                    </a:stretch>
                  </pic:blipFill>
                  <pic:spPr>
                    <a:xfrm>
                      <a:off x="0" y="0"/>
                      <a:ext cx="5486400" cy="55087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7090459, E 514388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50 naturvårdsarter varav 29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