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35738-2026 i Strömsunds kommun</w:t>
      </w:r>
    </w:p>
    <w:p>
      <w:r>
        <w:t>Detta klagomål behandlar höga naturvärden i avverkningsanmälan A 35738-2026 i Strömsunds kommun som inkom 2026-08-31 och omfattar 2,8 ha.</w:t>
      </w:r>
    </w:p>
    <w:p>
      <w:pPr>
        <w:pStyle w:val="Caption"/>
      </w:pPr>
      <w:r>
        <w:drawing>
          <wp:inline xmlns:a="http://schemas.openxmlformats.org/drawingml/2006/main" xmlns:pic="http://schemas.openxmlformats.org/drawingml/2006/picture">
            <wp:extent cx="5486400" cy="4047870"/>
            <wp:docPr id="1" name="Picture 1"/>
            <wp:cNvGraphicFramePr>
              <a:graphicFrameLocks noChangeAspect="1"/>
            </wp:cNvGraphicFramePr>
            <a:graphic>
              <a:graphicData uri="http://schemas.openxmlformats.org/drawingml/2006/picture">
                <pic:pic>
                  <pic:nvPicPr>
                    <pic:cNvPr id="0" name="A 35738-2026 karta.png"/>
                    <pic:cNvPicPr/>
                  </pic:nvPicPr>
                  <pic:blipFill>
                    <a:blip r:embed="rId16"/>
                    <a:stretch>
                      <a:fillRect/>
                    </a:stretch>
                  </pic:blipFill>
                  <pic:spPr>
                    <a:xfrm>
                      <a:off x="0" y="0"/>
                      <a:ext cx="5486400" cy="4047870"/>
                    </a:xfrm>
                    <a:prstGeom prst="rect"/>
                  </pic:spPr>
                </pic:pic>
              </a:graphicData>
            </a:graphic>
          </wp:inline>
        </w:drawing>
      </w:r>
    </w:p>
    <w:p>
      <w:pPr>
        <w:pStyle w:val="Caption"/>
        <w:spacing w:after="240"/>
      </w:pPr>
      <w:r>
        <w:t>Figur 1. Fyndplatser för naturvårdsarter i och inom 24 meter från avverkningsanmälan. Markörer utan svart kant är placerade på fyndplatsen. Markörer med svart kant är placerade vid sidan av fyndplatsen och har ett svart streck som visar fyndplatsens exakta position. Kartans mittpunktskoordinat är N 7125538, E 508725 i SWEREF 99 TM.</w:t>
      </w:r>
    </w:p>
    <w:p>
      <w:r>
        <w:t>I och inom 24 meter från avverkningsanmälan finns fynd av 5 naturvårdsarter, varav 5 är rödlistade, 1 är fridlyst och 5 är typiska (T): garnlav (VU, T), harticka (NT, T), lunglav (NT, T), skrovellav (NT, T) och tretåig hackspett (NT,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Harticka (NT)</w:t>
      </w:r>
      <w:r>
        <w:t xml:space="preserve"> är normalt en mycket bra signalart för granskogar med höga naturvärden. Även när svampen påträffas i mer påverkade skogar är det nästan alltid fråga om skogsmiljöer i sena successionsstadier med höga naturvärden. Skogsskötselåtgärder på eller i omedelbar närhet av växtplatserna kan innebära ett hot mot arten. Harticka är typisk art för </w:t>
      </w:r>
      <w:r>
        <w:rPr>
          <w:i/>
        </w:rPr>
        <w:t xml:space="preserve">9010 Taiga, 9050 Näringsrik granskog </w:t>
      </w:r>
      <w:r>
        <w:t xml:space="preserve">och </w:t>
      </w:r>
      <w:r>
        <w:rPr>
          <w:i/>
        </w:rPr>
        <w:t>9030 Landhöjningsskog</w:t>
      </w:r>
      <w:r>
        <w:t xml:space="preserve"> (SLU Artdatabanken, 2024; Nitare &amp; Skogsstyrelsen, 2019).</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de sällsynta parasitsvamparna skrovellavsknapp (EN), </w:t>
      </w:r>
      <w:r>
        <w:rPr>
          <w:i/>
        </w:rPr>
        <w:t>Catillaria lobariicola</w:t>
      </w:r>
      <w:r>
        <w:t xml:space="preserve"> (VU) och </w:t>
      </w:r>
      <w:r>
        <w:rPr>
          <w:i/>
        </w:rPr>
        <w:t>Merismatium lobariae</w:t>
      </w:r>
      <w:r>
        <w:t xml:space="preserve"> (DD). Skrovellav är typisk art för </w:t>
      </w:r>
      <w:r>
        <w:rPr>
          <w:i/>
        </w:rPr>
        <w:t xml:space="preserve">9010 Taiga, 9020 Nordlig ädellövskog, 9040 Fjällbjörkskog, 9070 Trädklädd betesmark, 9160 Näringsrik ekskog, 9180 Ädellövskog i branter, 9190 Näringsfattig ekskog, 8210 Kalkbranter </w:t>
      </w:r>
      <w:r>
        <w:t xml:space="preserve">och </w:t>
      </w:r>
      <w:r>
        <w:rPr>
          <w:i/>
        </w:rPr>
        <w:t>6530 Lövängar</w:t>
      </w:r>
      <w:r>
        <w:t xml:space="preserve"> (SLU Artdatabanken, 2026; Nitare &amp; Skogsstyrelsen, 2019).</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5 naturvårdsarter varav 5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2026-10-25</w:t>
      <w:br/>
      <w:br/>
    </w:r>
    <w:r>
      <w:t>Till: Holmen skog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