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40902-2025 i Strömsunds kommun</w:t>
      </w:r>
    </w:p>
    <w:p>
      <w:r>
        <w:t>Denna tillsynsbegäran behandlar höga naturvärden i avverkningsanmälan A 40902-2025 i Strömsunds kommun som inkom 2025-08-28 och omfattar 2,4 ha.</w:t>
      </w:r>
    </w:p>
    <w:p>
      <w:pPr>
        <w:pStyle w:val="Caption"/>
      </w:pPr>
      <w:r>
        <w:drawing>
          <wp:inline xmlns:a="http://schemas.openxmlformats.org/drawingml/2006/main" xmlns:pic="http://schemas.openxmlformats.org/drawingml/2006/picture">
            <wp:extent cx="5486400" cy="4289196"/>
            <wp:docPr id="1" name="Picture 1"/>
            <wp:cNvGraphicFramePr>
              <a:graphicFrameLocks noChangeAspect="1"/>
            </wp:cNvGraphicFramePr>
            <a:graphic>
              <a:graphicData uri="http://schemas.openxmlformats.org/drawingml/2006/picture">
                <pic:pic>
                  <pic:nvPicPr>
                    <pic:cNvPr id="0" name="A 40902-2025 karta.png"/>
                    <pic:cNvPicPr/>
                  </pic:nvPicPr>
                  <pic:blipFill>
                    <a:blip r:embed="rId16"/>
                    <a:stretch>
                      <a:fillRect/>
                    </a:stretch>
                  </pic:blipFill>
                  <pic:spPr>
                    <a:xfrm>
                      <a:off x="0" y="0"/>
                      <a:ext cx="5486400" cy="428919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7044660, E 538531 i SWEREF 99 TM.</w:t>
      </w:r>
    </w:p>
    <w:p>
      <w:r>
        <w:t>Inom 24 meter från avverkningsanmälan finns fynd av 7 naturvårdsarter, varav 4 är rödlistade, 1 är fridlyst, 6 är typiska (T) och 3 är signalarter (S): doftticka (VU, T, §8), kolflarnlav (NT, T), lunglav (NT, T), skrovellav (NT, T), källmossa (S), stuplav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kolflarnlav (NT, T), lunglav (NT, T), skrovellav (NT, T), stuplav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