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14830-2025 i Strömsunds kommun</w:t>
      </w:r>
    </w:p>
    <w:p>
      <w:r>
        <w:t>Detta dokument behandlar höga naturvärden i avverkningsanmälan A 14830-2025 i Strömsunds kommun som inkom 2025-03-27 och omfattar 2,8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475847"/>
            <wp:docPr id="1" name="Picture 1"/>
            <wp:cNvGraphicFramePr>
              <a:graphicFrameLocks noChangeAspect="1"/>
            </wp:cNvGraphicFramePr>
            <a:graphic>
              <a:graphicData uri="http://schemas.openxmlformats.org/drawingml/2006/picture">
                <pic:pic>
                  <pic:nvPicPr>
                    <pic:cNvPr id="0" name="A 14830-2025 karta.png"/>
                    <pic:cNvPicPr/>
                  </pic:nvPicPr>
                  <pic:blipFill>
                    <a:blip r:embed="rId16"/>
                    <a:stretch>
                      <a:fillRect/>
                    </a:stretch>
                  </pic:blipFill>
                  <pic:spPr>
                    <a:xfrm>
                      <a:off x="0" y="0"/>
                      <a:ext cx="5486400" cy="4475847"/>
                    </a:xfrm>
                    <a:prstGeom prst="rect"/>
                  </pic:spPr>
                </pic:pic>
              </a:graphicData>
            </a:graphic>
          </wp:inline>
        </w:drawing>
      </w:r>
    </w:p>
    <w:p>
      <w:pPr>
        <w:pStyle w:val="Caption"/>
        <w:spacing w:after="240"/>
      </w:pPr>
      <w:r>
        <w:t>Figur 1. Fyndplatser för naturvårdsarter inom 22 meter från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7049725, E 514206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Inom 22 meter från avverkningsanmälan har följande 1 naturvårdsarter hittats: vanliga ängsnycklar (§8). För fridlysta arter anges även paragrafen i Artskyddsförordningen som arten är fridlyst enligt.</w:t>
      </w:r>
    </w:p>
    <w:p>
      <w:r>
        <w:t>De påträffade naturvårdsarterna är ett tydligt kvitto på att det rör sig om en skog med höga naturvärden.</w:t>
      </w:r>
    </w:p>
    <w:p>
      <w:pPr>
        <w:pStyle w:val="Heading2"/>
      </w:pPr>
      <w:r>
        <w:t>Fridlysta arter</w:t>
      </w:r>
    </w:p>
    <w:p>
      <w:r>
        <w:t>Följande fridlysta arter har sina livsmiljöer och växtplatser i den avverkningsanmälda skogen: vanliga ängsnycklar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