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29537-2025 i Strömsunds kommun</w:t>
      </w:r>
    </w:p>
    <w:p>
      <w:r>
        <w:t>Detta klagomål behandlar höga naturvärden i avverkningsanmälan A 29537-2025 i Strömsunds kommun som inkom 2025-06-17 och omfattar 5,4 ha.</w:t>
      </w:r>
    </w:p>
    <w:p>
      <w:pPr>
        <w:pStyle w:val="Caption"/>
      </w:pPr>
      <w:r>
        <w:drawing>
          <wp:inline xmlns:a="http://schemas.openxmlformats.org/drawingml/2006/main" xmlns:pic="http://schemas.openxmlformats.org/drawingml/2006/picture">
            <wp:extent cx="5486400" cy="4649300"/>
            <wp:docPr id="1" name="Picture 1"/>
            <wp:cNvGraphicFramePr>
              <a:graphicFrameLocks noChangeAspect="1"/>
            </wp:cNvGraphicFramePr>
            <a:graphic>
              <a:graphicData uri="http://schemas.openxmlformats.org/drawingml/2006/picture">
                <pic:pic>
                  <pic:nvPicPr>
                    <pic:cNvPr id="0" name="A 29537-2025 karta.png"/>
                    <pic:cNvPicPr/>
                  </pic:nvPicPr>
                  <pic:blipFill>
                    <a:blip r:embed="rId16"/>
                    <a:stretch>
                      <a:fillRect/>
                    </a:stretch>
                  </pic:blipFill>
                  <pic:spPr>
                    <a:xfrm>
                      <a:off x="0" y="0"/>
                      <a:ext cx="5486400" cy="4649300"/>
                    </a:xfrm>
                    <a:prstGeom prst="rect"/>
                  </pic:spPr>
                </pic:pic>
              </a:graphicData>
            </a:graphic>
          </wp:inline>
        </w:drawing>
      </w:r>
    </w:p>
    <w:p>
      <w:pPr>
        <w:pStyle w:val="Caption"/>
        <w:spacing w:after="240"/>
      </w:pPr>
      <w:r>
        <w:t>Figur 1. Fyndplatser för naturvårdsarter i och inom 17 meter från avverkningsanmälan. Markörer utan svart kant är placerade på fyndplatsen. Markörer med svart kant är placerade vid sidan av fyndplatsen har ett svart streck som visar fyndplatsens exakta position. Kartans mittpunktskoordinat är N 7036347, E 522073 i SWEREF 99 TM.</w:t>
      </w:r>
    </w:p>
    <w:p>
      <w:r>
        <w:t>I och inom 17 meter från avverkningsanmälan finns fynd av 3 naturvårdsarter, varav 3 är rödlistade: läderdoftande fingersvamp (VU), mörk kolflarnlav (NT) och puderspindling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Läderdoftande fingersvamp (VU) </w:t>
      </w:r>
      <w:r>
        <w:t>bildar mykorrhiza med gran i örtrik äldre barrskog, ofta på kalkrik mark. Den har en speciell doft som kan påminna om nytt skoläder (skoaffär), därav det svenska namnet. Den totala populationen i landet bedöms ändå ha minskat starkt och fortsatt kommer att minska då arten är knuten till en bördig äldre kalkgranskogsmiljö som successivt avverkas och där få områden alltjämt är formellt skyddade. All form av hårdhänt skogsavverkning på eller i närheten av växtplatsen missgynnar arten. Artens huvudsakliga koppling till produktiva äldre granskogar med hög bonitet gör den särskilt utsatt för slutavverkning. Samtliga lokaler bör undantas från rationellt skogsbruk och få ett områdesskydd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Puderspindling (NT) </w:t>
      </w:r>
      <w:r>
        <w:t>bildar mykorrhiza med gran och växer i äldre ängsgranskog på kalkrik mark. Påträffas ofta i myrstackar. Storskaligt skogsbruk med kalavverkning och markberedning eller kraftig gallring är det främsta hotet mot arten. På sikt är det ett problem att skogar av denna typ, med stort inslag av äldre träd inte nybildas. Ett fullständigt skydd för artens lokaler bör övervägas. Där avverkning ändå tillåts måste den ske försiktigt så att kontinuiteten i trädskiktet inte bryts. Ett tillräckligt antal äldre träd måste finnas kvar i beståndet. Det är önskvärt med stor naturvårdshänsyn i alla områden med äldre granskog på näringsrik mark oavsett om dess flora är känd eller ej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