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47364-2025 i Strömsunds kommun</w:t>
      </w:r>
    </w:p>
    <w:p>
      <w:r>
        <w:t>Detta klagomål behandlar höga naturvärden i avverkningsanmälan A 47364-2025 i Strömsunds kommun som inkom 2025-09-30 och omfattar 10,6 ha.</w:t>
      </w:r>
    </w:p>
    <w:p>
      <w:pPr>
        <w:pStyle w:val="Caption"/>
      </w:pPr>
      <w:r>
        <w:drawing>
          <wp:inline xmlns:a="http://schemas.openxmlformats.org/drawingml/2006/main" xmlns:pic="http://schemas.openxmlformats.org/drawingml/2006/picture">
            <wp:extent cx="5486400" cy="4726295"/>
            <wp:docPr id="1" name="Picture 1"/>
            <wp:cNvGraphicFramePr>
              <a:graphicFrameLocks noChangeAspect="1"/>
            </wp:cNvGraphicFramePr>
            <a:graphic>
              <a:graphicData uri="http://schemas.openxmlformats.org/drawingml/2006/picture">
                <pic:pic>
                  <pic:nvPicPr>
                    <pic:cNvPr id="0" name="A 47364-2025 karta.png"/>
                    <pic:cNvPicPr/>
                  </pic:nvPicPr>
                  <pic:blipFill>
                    <a:blip r:embed="rId16"/>
                    <a:stretch>
                      <a:fillRect/>
                    </a:stretch>
                  </pic:blipFill>
                  <pic:spPr>
                    <a:xfrm>
                      <a:off x="0" y="0"/>
                      <a:ext cx="5486400" cy="4726295"/>
                    </a:xfrm>
                    <a:prstGeom prst="rect"/>
                  </pic:spPr>
                </pic:pic>
              </a:graphicData>
            </a:graphic>
          </wp:inline>
        </w:drawing>
      </w:r>
    </w:p>
    <w:p>
      <w:pPr>
        <w:pStyle w:val="Caption"/>
        <w:spacing w:after="240"/>
      </w:pPr>
      <w:r>
        <w:t>Figur 1. Fyndplatser för naturvårdsarter i och inom 12 meter från avverkningsanmälan. Markörer utan svart kant är placerade på fyndplatsen. Markörer med svart kant är placerade vid sidan av fyndplatsen har ett svart streck som visar fyndplatsens exakta position. Kartans mittpunktskoordinat är N 7044010, E 524092 i SWEREF 99 TM.</w:t>
      </w:r>
    </w:p>
    <w:p>
      <w:r>
        <w:t>I och inom 12 meter från avverkningsanmälan finns fynd av 15 naturvårdsarter, varav 9 är rödlistade, 7 är fridlysta, 10 är typiska (T) och 4 är signalarter (S): doftticka (VU, T, §8), garnlav (VU, T), knärot (VU, T, §8), ulltickeporing (VU), doftskinn (NT, T), lunglav (NT, T), talltita (NT, §4), tretåig hackspett (NT, T, §4), ullticka (NT, T), grönkulla (S, T, §8), rödgul trumpetsvamp (S), skinnlav (S, T), svavelriska (S), blåsippa (T, §9)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30 fyndplatser för knärot registrerade på Artportalen. Figur 2 visar gränserna för buffertzoner på 50 m, som behöver lämnas kring fyndplatserna för att knärotslokalerna inte ska försvinna vid en avverkning. Av det avverkningsanmälda området överlappar 6.86 ha med buffertzonerna och får av detta skäl inte avverkas.</w:t>
      </w:r>
    </w:p>
    <w:p>
      <w:pPr>
        <w:pStyle w:val="Caption"/>
      </w:pPr>
      <w:r>
        <w:drawing>
          <wp:inline xmlns:a="http://schemas.openxmlformats.org/drawingml/2006/main" xmlns:pic="http://schemas.openxmlformats.org/drawingml/2006/picture">
            <wp:extent cx="5486400" cy="6093674"/>
            <wp:docPr id="2" name="Picture 2"/>
            <wp:cNvGraphicFramePr>
              <a:graphicFrameLocks noChangeAspect="1"/>
            </wp:cNvGraphicFramePr>
            <a:graphic>
              <a:graphicData uri="http://schemas.openxmlformats.org/drawingml/2006/picture">
                <pic:pic>
                  <pic:nvPicPr>
                    <pic:cNvPr id="0" name="A 47364-2025 karta knärot.png"/>
                    <pic:cNvPicPr/>
                  </pic:nvPicPr>
                  <pic:blipFill>
                    <a:blip r:embed="rId17"/>
                    <a:stretch>
                      <a:fillRect/>
                    </a:stretch>
                  </pic:blipFill>
                  <pic:spPr>
                    <a:xfrm>
                      <a:off x="0" y="0"/>
                      <a:ext cx="5486400" cy="609367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7044010, E 524092 i SWEREF 99 TM.</w:t>
      </w:r>
    </w:p>
    <w:p>
      <w:r>
        <w:rPr>
          <w:b/>
        </w:rPr>
        <w:t xml:space="preserve">Ulltickeporing </w:t>
      </w:r>
      <w:r>
        <w:rPr>
          <w:b/>
          <w:i/>
        </w:rPr>
        <w:t>Skeletocutis brevispora</w:t>
      </w:r>
      <w:r>
        <w:rPr>
          <w:b/>
        </w:rPr>
        <w:t xml:space="preserve"> (VU)</w:t>
      </w:r>
      <w:r>
        <w:t>,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Grönkulla (§8) </w:t>
      </w:r>
      <w:r>
        <w:t xml:space="preserve">är typisk art för </w:t>
      </w:r>
      <w:r>
        <w:rPr>
          <w:i/>
        </w:rPr>
        <w:t xml:space="preserve">9040 Fjällbjörkskog, 9070 Trädklädd betesmark, 6170 Alpina kalkgräsmarker, 6520 Höglänta slåtterängar </w:t>
      </w:r>
      <w:r>
        <w:t>och</w:t>
      </w:r>
      <w:r>
        <w:rPr>
          <w:i/>
        </w:rPr>
        <w:t xml:space="preserve"> 6210 Kalkgräsmarker </w:t>
      </w:r>
      <w:r>
        <w:t>(SLU Artdatabanken, 2025).</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15 naturvårdsarter varav 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Ulltickeporing – ekologi samt krav på livsmiljön</w:t>
      </w:r>
    </w:p>
    <w:p>
      <w:r>
        <w:t xml:space="preserve">Ulltickeporing </w:t>
      </w:r>
      <w:r>
        <w:rPr>
          <w:i/>
        </w:rPr>
        <w:t>Skeletocutis brevispora</w:t>
      </w:r>
      <w:r>
        <w:t xml:space="preserve"> (VU),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2026).</w:t>
      </w:r>
    </w:p>
    <w:p>
      <w:r>
        <w:t xml:space="preserve">Ulltickeporingen har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(SLU Artdatabanken, 2026; Miettinen &amp; Niemelä, 2018).</w:t>
      </w:r>
    </w:p>
    <w:p>
      <w:pPr>
        <w:pStyle w:val="Heading2"/>
      </w:pPr>
      <w:r>
        <w:t>Referenser – ulltickeporing</w:t>
      </w:r>
    </w:p>
    <w:p>
      <w:r>
        <w:t xml:space="preserve">Miettinen, O. &amp; Niemelä, T., 2018. </w:t>
      </w:r>
      <w:r>
        <w:rPr>
          <w:i/>
        </w:rPr>
        <w:t>Two new temperate polypore species of Skeletocutis (Polyporales, Basidiomycota)</w:t>
      </w:r>
      <w:r>
        <w:t>. Ann. Bot. Fennici 55: 195–206.</w:t>
      </w:r>
    </w:p>
    <w:p>
      <w:r>
        <w:t xml:space="preserve">SLU Artdatabanken, 2026.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