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4125-2022 i Strömsunds kommun</w:t>
      </w:r>
    </w:p>
    <w:p>
      <w:r>
        <w:t>Detta klagomål behandlar höga naturvärden i samrådsanmälan S 4125-2022 i Strömsunds kommun som inkom 2022-07-21 och omfattar 31,6 ha.</w:t>
      </w:r>
    </w:p>
    <w:p>
      <w:pPr>
        <w:pStyle w:val="Caption"/>
      </w:pPr>
      <w:r>
        <w:drawing>
          <wp:inline xmlns:a="http://schemas.openxmlformats.org/drawingml/2006/main" xmlns:pic="http://schemas.openxmlformats.org/drawingml/2006/picture">
            <wp:extent cx="4829010" cy="5724000"/>
            <wp:docPr id="1" name="Picture 1"/>
            <wp:cNvGraphicFramePr>
              <a:graphicFrameLocks noChangeAspect="1"/>
            </wp:cNvGraphicFramePr>
            <a:graphic>
              <a:graphicData uri="http://schemas.openxmlformats.org/drawingml/2006/picture">
                <pic:pic>
                  <pic:nvPicPr>
                    <pic:cNvPr id="0" name="S 4125-2022 karta.png"/>
                    <pic:cNvPicPr/>
                  </pic:nvPicPr>
                  <pic:blipFill>
                    <a:blip r:embed="rId16"/>
                    <a:stretch>
                      <a:fillRect/>
                    </a:stretch>
                  </pic:blipFill>
                  <pic:spPr>
                    <a:xfrm>
                      <a:off x="0" y="0"/>
                      <a:ext cx="482901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7173523, E 461754 i SWEREF 99 TM.</w:t>
      </w:r>
    </w:p>
    <w:p>
      <w:r>
        <w:t>I samrådsanmälan finns fynd av 5 naturvårdsarter, varav 4 är rödlistade, 1 är fridlyst, 4 är typiska (T) och 1 är signalart (S): gränsticka (VU, T), norsk näverlav (VU), stjärntagging (NT, T), tretåig hackspett (NT, T, §4)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