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988-2025 i Strömsunds kommun</w:t>
      </w:r>
    </w:p>
    <w:p>
      <w:r>
        <w:t>Detta klagomål behandlar höga naturvärden i samrådsanmälan S 988-2025 i Strömsunds kommun som inkom 2025-03-27 och omfattar 2609,1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S 988-2025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7082458, E 532642 i SWEREF 99 TM.</w:t>
      </w:r>
    </w:p>
    <w:p>
      <w:r>
        <w:t>I och inom 25 meter från samrådsanmälan finns fynd av 23 naturvårdsarter, varav 13 är rödlistade, 8 är fridlysta, 16 är typiska (T) och 7 är signalarter (S): garnlav (VU, T), brunklöver (NT), kandelabersvamp (NT, T), knotterdyna (NT), lavskrika (NT, T, §4), lunglav (NT, T), månlåsbräken (NT), rosenticka (NT, T), rynkskinn (NT, T), skrovellav (NT, T), tretåig hackspett (NT, T, §4), ullticka (NT, T), vitgrynig nållav (NT), bårdlav (S, T), grönpyrola (S, T), korallrot (S, T, §8), lappranunkel (S, T, §7), skinnlav (S, T), spindelblomster (S, T, §8), svart trolldruva (S, T), skogsrör (§7),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608206"/>
            <wp:docPr id="2" name="Picture 2"/>
            <wp:cNvGraphicFramePr>
              <a:graphicFrameLocks noChangeAspect="1"/>
            </wp:cNvGraphicFramePr>
            <a:graphic>
              <a:graphicData uri="http://schemas.openxmlformats.org/drawingml/2006/picture">
                <pic:pic>
                  <pic:nvPicPr>
                    <pic:cNvPr id="0" name="S 988-2025 karta knärot.png"/>
                    <pic:cNvPicPr/>
                  </pic:nvPicPr>
                  <pic:blipFill>
                    <a:blip r:embed="rId17"/>
                    <a:stretch>
                      <a:fillRect/>
                    </a:stretch>
                  </pic:blipFill>
                  <pic:spPr>
                    <a:xfrm>
                      <a:off x="0" y="0"/>
                      <a:ext cx="5486400" cy="66082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7082458, E 532642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Knotterdyna (NT)</w:t>
      </w:r>
      <w:r>
        <w:t xml:space="preserve"> är knuten till frodiga naturskogsbestånd dominerade av ädellövträd och i norr innehållande asp – biotoper som i Sverige och Europa har minskat mycket kraftigt och idag har mycket liten utbredning. Tillgången på substrat i form av grov, död ädellövved och aspved måste tillåtas öka i skogslandskapet. Kända men oskyddade lokaler bör undantas från storskaligt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