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13357-2023 i Strömsunds kommun</w:t>
      </w:r>
    </w:p>
    <w:p>
      <w:r>
        <w:t>Detta dokument behandlar höga naturvärden i avverkningsanmälan A 13357-2023 i Strömsunds kommun. Denna avverkningsanmälan inkom 2023-03-20 och omfattar 252,2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40 naturvårdsarter hittats: klot-tegellav (EN), trådbrosklav (EN), fjällraggmossa (VU), långskaftad svanmossa (VU, §8), norsk näverlav (VU), fjällgytterlav (NT), klibbig fetknopp (NT, §8), lunglav (NT), månlåsbräken (NT), nordlåsbräken (NT), rödbrun blekspik (NT), skrovellav (NT), tretåig hackspett (NT, §4), bårdlav (S), grov husmossa (S), gräsull (S), grönkulla (S, §8), kambräken (S), klotuffmossa (S), korallrot (S, §8), kransrams (S), källpraktmossa (S), kärrtrumpetmossa (S), mörk husmossa (S), nordlig tuffmossa (S), skogshakmossa (S), spindelblomster (S, §8), stuplav (S), taggbräken (S), trådticka (S), tvåblad (S, §8), ögonpyrola (S), skogsrör (§7), brudsporre (§8), dubbelnycklar (§8), fläcknycklar (§8), ängsnycklar (§8), fjällummer (§9), gul groddlummer (§9) och mattlummer (§9).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94194"/>
            <wp:docPr id="1" name="Picture 1"/>
            <wp:cNvGraphicFramePr>
              <a:graphicFrameLocks noChangeAspect="1"/>
            </wp:cNvGraphicFramePr>
            <a:graphic>
              <a:graphicData uri="http://schemas.openxmlformats.org/drawingml/2006/picture">
                <pic:pic>
                  <pic:nvPicPr>
                    <pic:cNvPr id="0" name="A 13357-2023 karta.png"/>
                    <pic:cNvPicPr/>
                  </pic:nvPicPr>
                  <pic:blipFill>
                    <a:blip r:embed="rId16"/>
                    <a:stretch>
                      <a:fillRect/>
                    </a:stretch>
                  </pic:blipFill>
                  <pic:spPr>
                    <a:xfrm>
                      <a:off x="0" y="0"/>
                      <a:ext cx="5486400" cy="28941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7179324, E 447827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Skog där laven förekommer bör helt undantas från skogsbruksåtgärder. Det är väsentligt att tillräckligt stora bestånd och breda kantzoner avsätts eftersom arten är känslig för uttorkning. Samtliga rika förekomster bör skyddas (SLU Artdatabanken, 2024).</w:t>
      </w:r>
    </w:p>
    <w:p>
      <w:pPr>
        <w:pStyle w:val="Heading1"/>
      </w:pPr>
      <w:r>
        <w:t>Fridlysta arter</w:t>
      </w:r>
    </w:p>
    <w:p>
      <w:r>
        <w:t>Följande fridlysta arter har sina livsmiljöer och växtplatser i den avverkningsanmälda skogen: långskaftad svanmossa (VU, §8), klibbig fetknopp (NT, §8), tretåig hackspett (NT, §4), grönkulla (S, §8), korallrot (S, §8), spindelblomster (S, §8), tvåblad (S, §8), skogsrör (§7), brudsporre (§8), dubbelnycklar (§8), fläcknycklar (§8), ängsnycklar (§8), fjällummer (§9), gul groddlummer (§9)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40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