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66164-2020 i Strömsunds kommun</w:t>
      </w:r>
    </w:p>
    <w:p>
      <w:r>
        <w:t>Detta dokument behandlar höga naturvärden i avverkningsanmälan A 66164-2020 i Strömsunds kommun. Denna avverkningsanmälan inkom 2020-12-10 och omfattar 22,9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28 naturvårdsarter hittats: liten sotlav (VU), norsk näverlav (VU), brunpudrad nållav (NT), doftskinn (NT), gammelgransskål (NT), garnlav (NT), granticka (NT), gränsticka (NT), harticka (NT), liten svartspik (NT), rödbrun blekspik (NT), skrovellav (NT), talltita (NT, §4), tretåig hackspett (NT, §4), ullticka (NT), vedtrappmossa (NT), vitgrynig nållav (NT), barkkornlav (S), gulnål (S), kransrams (S), källmossor (S), källpraktmossa (S), spindelblomster (S, §8), spädstarr (S), stuplav (S), vedticka (S), fläcknycklar (§8) och revlummer (§9). Av dessa är 17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99647"/>
            <wp:docPr id="1" name="Picture 1"/>
            <wp:cNvGraphicFramePr>
              <a:graphicFrameLocks noChangeAspect="1"/>
            </wp:cNvGraphicFramePr>
            <a:graphic>
              <a:graphicData uri="http://schemas.openxmlformats.org/drawingml/2006/picture">
                <pic:pic>
                  <pic:nvPicPr>
                    <pic:cNvPr id="0" name="A 66164-2020 karta.png"/>
                    <pic:cNvPicPr/>
                  </pic:nvPicPr>
                  <pic:blipFill>
                    <a:blip r:embed="rId16"/>
                    <a:stretch>
                      <a:fillRect/>
                    </a:stretch>
                  </pic:blipFill>
                  <pic:spPr>
                    <a:xfrm>
                      <a:off x="0" y="0"/>
                      <a:ext cx="5486400" cy="379964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7164321, E 442885 i SWEREF 99 TM.</w:t>
      </w:r>
    </w:p>
    <w:p>
      <w:r>
        <w:rPr>
          <w:b/>
        </w:rPr>
        <w:t>Brunpudrad nållav (NT)</w:t>
      </w:r>
      <w:r>
        <w:t xml:space="preserve"> är beroende av hög, jämn luftfuktighet och kan påträffas i fuktiga skogar av naturskogskaraktär, ofta i sumpgranskog eller andra sumpskogar. Arten är placerad högst upp i Skogsstyrelsens värdepyramid för bedömning av skog med höga naturvärden och förekomster bör undantas från skogsbruksåtgärder (SLU Artdatabanken, 2024; Nitare &amp; Skogsstyrelsen, 2019).</w:t>
      </w:r>
    </w:p>
    <w:p>
      <w:r>
        <w:rPr>
          <w:b/>
        </w:rPr>
        <w:t>Doftskinn (NT)</w:t>
      </w:r>
      <w:r>
        <w:t>,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(Nitare &amp; Skogsstyrelsen, 2019).</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Liten sotlav (VU)</w:t>
      </w:r>
      <w:r>
        <w:t xml:space="preserve"> förekommer i gamla brandrefugiala boreala granskogar där den oftast påträffas på grovbarkiga, senvuxna, mycket gamla granar. Arten är en av de mest krävande arterna i fuktig grannaturskog och är placerad högst upp i Skogsstyrelsens värdepyramid för bedömning av skog med höga naturvärden. Samtliga förekomster bör skyddas (SLU Artdatabanken, 2024; Nitare &amp; Skogsstyrelsen, 2019).</w:t>
      </w:r>
    </w:p>
    <w:p>
      <w:r>
        <w:rPr>
          <w:b/>
        </w:rPr>
        <w:t>Norsk näverlav (VU)</w:t>
      </w:r>
      <w:r>
        <w:t>, rödlistad som sårbar, är en suboceanisk art och påträffas bara i områden med hög och jämn luftfuktighet. Den växer i fuktiga granskogar, främst på stammar eller grenar av äldre björkar och granar. Arten är placerad i toppen av Skogsstyrelsens värdepyramid för bedömning av skog med höga naturvärden och försvinner eller missgynnas starkt vid all form av avverkning på eller i anslutning till lokalerna. Norsk näverlav har en hög andel av sin världspopulation i Norge och Sverige vilket medför ett särskilt ansvar för arten (Nitare &amp; Skogsstyrelsen, 2019; SLU Artdatabanken, 2024).</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pPr>
        <w:pStyle w:val="Heading1"/>
      </w:pPr>
      <w:r>
        <w:t>Fridlysta arter</w:t>
      </w:r>
    </w:p>
    <w:p>
      <w:r>
        <w:t>Följande fridlysta arter har sina livsmiljöer och växtplatser i den avverkningsanmälda skogen: talltita (NT, §4), tretåig hackspett (NT, §4), spindelblomster (S, §8), fläcknycklar (§8)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