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38023-2025 i Strömsunds kommun</w:t>
      </w:r>
    </w:p>
    <w:p>
      <w:r>
        <w:t>Denna tillsynsbegäran behandlar höga naturvärden i avverkningsanmälan A 38023-2025 i Strömsunds kommun som inkom 2025-08-13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64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02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64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7114765, E 553611 i SWEREF 99 TM.</w:t>
      </w:r>
    </w:p>
    <w:p>
      <w:r>
        <w:t>I avverkningsanmälan finns fynd av 3 naturvårdsarter, varav 3 är rödlistade och 2 är typiska (T): vitskaftad svartspik (VU, T), rödbrun blekspik (NT, T) och vitgrynig nållav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Vitskaftad svartspik (VU)</w:t>
      </w:r>
      <w:r>
        <w:t xml:space="preserve"> förekommer främst i naturskog på gamla senvuxna granar och signalerar alltid höga naturvärden. Alla skogliga åtgärder som kan påverka markvatten och luftfuktighet på i närheten av lokaler utgör ett hot. Avverkning av naturskogar utgör ett allvarligt hot och alla skogsskötselåtgärder på eller i närheten av växtplatserna bör undvikas. Lämpligt stora reservat av naturskogstyp bör bevaras. Vitskaftad svartspik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p>
      <w:r>
        <w:rPr>
          <w:b/>
        </w:rPr>
        <w:t>Rödbrun blekspik (NT)</w:t>
      </w:r>
      <w:r>
        <w:t xml:space="preserve"> växer i norra Sverige på bark och ved av björk och gran i skogar med hög och jämn luftfuktighet. I södra Sverige växer den främst på ek i öppna åldriga lövskogar. I norra delen av sitt utbredningsområde hotas arten av slutavverkningar av gamla granskogar. I den södra delen av landet hotas den genom de åldriga lövskogarnas tillbakagång och särskilt ekhagarnas igenväxning och genom plantering av sådan mark med barrskog. Rödbrun blekspik är typisk art för </w:t>
      </w:r>
      <w:r>
        <w:rPr>
          <w:i/>
        </w:rPr>
        <w:t xml:space="preserve">9010 Taiga, 9020 Nordlig ädellövskog, 9070 Trädklädd betesmark, 9160 Näringsrik ekskog </w:t>
      </w:r>
      <w:r>
        <w:t xml:space="preserve">och </w:t>
      </w:r>
      <w:r>
        <w:rPr>
          <w:i/>
        </w:rPr>
        <w:t>9180 Ädellövskog i branter</w:t>
      </w:r>
      <w:r>
        <w:t xml:space="preserve"> och signalerar alltid höga naturvärden (SLU Artdatabanken, 2024; Nitare &amp; Skogsstyrelsen, 2019).</w:t>
      </w:r>
    </w:p>
    <w:p>
      <w:r>
        <w:rPr>
          <w:b/>
        </w:rPr>
        <w:t>Vitgrynig nållav (NT)</w:t>
      </w:r>
      <w:r>
        <w:t xml:space="preserve"> växer nästan uteslutande på bark av gamla, senvuxna granar i skuggiga lägen med hög och jämn luftfuktighet. Den vanligaste naturtypen för arten är kontinuitetsskogar på frisk mark men den finns också i sumpgranskogar. På lång sikt utgör avverkningar av olikåldriga granskogar av naturskogskaraktär ett allvarligt hot mot arten och skogsbruksåtgärder på eller i närheten av växtplatserna bör undvikas. Naturskogsartade, fuktiga granskogar med förekomster av arten signalerar höga biologiska värden och bör bevaras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