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61907-2023 i Strömsunds kommun</w:t>
      </w:r>
    </w:p>
    <w:p>
      <w:r>
        <w:t>Detta dokument behandlar höga naturvärden i avverkningsanmälan A 61907-2023 i Strömsunds kommun. Denna avverkningsanmälan inkom 2023-12-05 00:00:00 och omfattar 49,0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borgsjömusseron (VU), rynkskinn (VU), lavskrika (§4) och vanlig groda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8172"/>
            <wp:docPr id="1" name="Picture 1"/>
            <wp:cNvGraphicFramePr>
              <a:graphicFrameLocks noChangeAspect="1"/>
            </wp:cNvGraphicFramePr>
            <a:graphic>
              <a:graphicData uri="http://schemas.openxmlformats.org/drawingml/2006/picture">
                <pic:pic>
                  <pic:nvPicPr>
                    <pic:cNvPr id="0" name="A 61907-2023 karta.png"/>
                    <pic:cNvPicPr/>
                  </pic:nvPicPr>
                  <pic:blipFill>
                    <a:blip r:embed="rId16"/>
                    <a:stretch>
                      <a:fillRect/>
                    </a:stretch>
                  </pic:blipFill>
                  <pic:spPr>
                    <a:xfrm>
                      <a:off x="0" y="0"/>
                      <a:ext cx="5486400" cy="37881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7187507, E 465755 i SWEREF 99 TM.</w:t>
      </w:r>
    </w:p>
    <w:p>
      <w:r>
        <w:rPr>
          <w:b/>
        </w:rPr>
        <w:t>Borgsjömusseron (VU)</w:t>
      </w:r>
      <w:r>
        <w:t xml:space="preserve"> bildar mykorrhiza med gran, oftast i äldre örtrik barrskog. Typiska växtplatser är svackor med djupt mosstäcke eller fuktiga sluttningar. Den missgynnas starkt av skogsbruk, i synnerhet kalavverkning, eftersom den har en begränsad ekologisk nisch och sannolikt är känslig för uttorkning. Flera av fyndplatserna i Medelpad är redan förstörda på grund av kalavverkning. Arten är globalt rödlistad som sårbar (VU) vilket innebär att Sverige har ett internationellt ansvar för arten (SLU Artdatabanken, 2024; Nitare &amp; Skogsstyrelsen, 2019; IUCN, 2015).</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Fridlysta arter</w:t>
      </w:r>
    </w:p>
    <w:p>
      <w:r>
        <w:t>Följande fridlysta arter har sina livsmiljöer och växtplatser i den avverkningsanmälda skogen: lavskrika (§4) och vanlig groda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