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22528-2021 i Strömsunds kommun</w:t>
      </w:r>
    </w:p>
    <w:p>
      <w:r>
        <w:t>Detta dokument behandlar höga naturvärden i avverkningsanmälan A 22528-2021 i Strömsunds kommun. Denna avverkningsanmälan inkom 2021-05-10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smultronkantarell (VU), garnlav (NT), kolflarnlav (NT), rosenticka (NT), tallticka (NT), talltita (NT, §4), tretåig hackspett (NT, §4), ullticka (NT), vedskivlav (NT), dropptaggsvamp (S), flagellkvastmossa (S), plattlummer (S, §9)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252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Smultronkantarell (VU)</w:t>
      </w:r>
      <w:r>
        <w:t xml:space="preserve"> är en liten rosafärgad skivling med mycket speciell sötaktig doft av smultron eller kantarell som växer på kalkrik mark i äldre barrskog, framförallt i ängsgranskog men även i mager sandtallskog. Lokaler där arten finns är i allmänhet mycket rika på andra sällsynta, marklevande barrskogssvampar, varför ett skydd av artens växtställen samtidigt skyddar dessa. Arten hotas av kraftig gallring eller slutavverkning på eller i omedelbar närhet av växtlokalerna. Smultronkantarell är globalt rödlistad som nära hotad (NT)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2.39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2528-2021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7078165, E 572231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