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27364-2023 i Strömsunds kommun</w:t>
      </w:r>
    </w:p>
    <w:p>
      <w:r>
        <w:t>Detta dokument behandlar höga naturvärden i avverkningsanmälan A 27364-2023 i Strömsunds kommun. Denna avverkningsanmälan inkom 2023-06-19 00:00:00 och omfattar 8,3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6 naturvårdsarter hittats: läderlappslav (VU), garnlav (NT), harticka (NT), lunglav (NT), vitgrynig nållav (NT)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37229"/>
            <wp:docPr id="1" name="Picture 1"/>
            <wp:cNvGraphicFramePr>
              <a:graphicFrameLocks noChangeAspect="1"/>
            </wp:cNvGraphicFramePr>
            <a:graphic>
              <a:graphicData uri="http://schemas.openxmlformats.org/drawingml/2006/picture">
                <pic:pic>
                  <pic:nvPicPr>
                    <pic:cNvPr id="0" name="A 27364-2023 karta.png"/>
                    <pic:cNvPicPr/>
                  </pic:nvPicPr>
                  <pic:blipFill>
                    <a:blip r:embed="rId16"/>
                    <a:stretch>
                      <a:fillRect/>
                    </a:stretch>
                  </pic:blipFill>
                  <pic:spPr>
                    <a:xfrm>
                      <a:off x="0" y="0"/>
                      <a:ext cx="5486400" cy="32372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7088545, E 549257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Läderlappslav (VU)</w:t>
      </w:r>
      <w:r>
        <w:t xml:space="preserve"> växer på gamla lövträd, främst lönn, rönn, asp och ask, på lokaler med hög luftfuktighet. Lämpliga lokaler bör skyddas. Tills vidare bör lokaler i skog undantas från rationell skogsskötsel (SLU Artdatabanken, 2024).</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