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49374-2024 i Strömsunds kommun</w:t>
      </w:r>
    </w:p>
    <w:p>
      <w:r>
        <w:t>Detta dokument behandlar höga naturvärden i avverkningsanmälan A 49374-2024 i Strömsunds kommun. Denna avverkningsanmälan inkom 2024-10-30 15:24:37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veckticka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8189"/>
            <wp:docPr id="1" name="Picture 1"/>
            <wp:cNvGraphicFramePr>
              <a:graphicFrameLocks noChangeAspect="1"/>
            </wp:cNvGraphicFramePr>
            <a:graphic>
              <a:graphicData uri="http://schemas.openxmlformats.org/drawingml/2006/picture">
                <pic:pic>
                  <pic:nvPicPr>
                    <pic:cNvPr id="0" name="A 49374-2024 karta.png"/>
                    <pic:cNvPicPr/>
                  </pic:nvPicPr>
                  <pic:blipFill>
                    <a:blip r:embed="rId16"/>
                    <a:stretch>
                      <a:fillRect/>
                    </a:stretch>
                  </pic:blipFill>
                  <pic:spPr>
                    <a:xfrm>
                      <a:off x="0" y="0"/>
                      <a:ext cx="5486400" cy="4278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7025403, E 520793 i SWEREF 99 TM.</w:t>
      </w:r>
    </w:p>
    <w:p>
      <w:r>
        <w:rPr>
          <w:b/>
        </w:rPr>
        <w:t>Veckticka (NT)</w:t>
      </w:r>
      <w:r>
        <w:t xml:space="preserve"> förekommer främst i äldre naturskogsartad löv- och blandskog i sena åldersstadier med gamla, döende och döda aspar. Avverkning eller gallring av aspbestånd är ett hot och aspskogar och asprika blandskogar måste bevaras i högre utsträckning än hittills. Sumpskog med asp och sälg har ett särskilt högt naturvärde och bör skyddas helt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