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66118-2020 i Strömsunds kommun</w:t>
      </w:r>
    </w:p>
    <w:p>
      <w:r>
        <w:t>Detta dokument behandlar höga naturvärden i avverkningsanmälan A 66118-2020 i Strömsunds kommun. Denna avverkningsanmälan inkom 2020-12-10 00:00:00 och omfattar 24,6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9 naturvårdsarter hittats: liten sotlav (VU), norsk näverlav (VU), brunpudrad nållav (NT), garnlav (NT), granticka (NT), rödbrun blekspik (NT), skrovellav (NT), tretåig hackspett (NT, §4) och luddlav (S).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47161"/>
            <wp:docPr id="1" name="Picture 1"/>
            <wp:cNvGraphicFramePr>
              <a:graphicFrameLocks noChangeAspect="1"/>
            </wp:cNvGraphicFramePr>
            <a:graphic>
              <a:graphicData uri="http://schemas.openxmlformats.org/drawingml/2006/picture">
                <pic:pic>
                  <pic:nvPicPr>
                    <pic:cNvPr id="0" name="A 66118-2020 karta.png"/>
                    <pic:cNvPicPr/>
                  </pic:nvPicPr>
                  <pic:blipFill>
                    <a:blip r:embed="rId16"/>
                    <a:stretch>
                      <a:fillRect/>
                    </a:stretch>
                  </pic:blipFill>
                  <pic:spPr>
                    <a:xfrm>
                      <a:off x="0" y="0"/>
                      <a:ext cx="5486400" cy="5947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7167203, E 438947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Norsk näverlav (VU)</w:t>
      </w:r>
      <w:r>
        <w:t>, rödlistad som sårbar, är en suboceanisk art och påträffas bara i områden med hög och jämn luftfuktighet. Den växer i fuktiga granskogar, främst på stammar eller grenar av äldre björkar och granar. Arten är placerad i toppen av Skogsstyrelsens värdepyramid för bedömning av skog med höga naturvärden och försvinner eller missgynnas starkt vid all form av avverkning på eller i anslutning till lokalerna. Norsk näverlav har en hög andel av sin världspopulation i Norge och Sverige vilket medför ett särskilt ansvar för arten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