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69914-2021 i Strömsunds kommun</w:t>
      </w:r>
    </w:p>
    <w:p>
      <w:r>
        <w:t>Detta dokument behandlar höga naturvärden i avverkningsanmälan A 69914-2021 i Strömsunds kommun. Denna avverkningsanmälan inkom 2021-12-02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violettrandad spindling (VU), blå taggsvamp (NT), puderspindling (NT), rosenticka (NT), barrfagerspindling (S), diskvaxskivling (S), strimspindling (S) och zontaggsvamp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5958"/>
            <wp:docPr id="1" name="Picture 1"/>
            <wp:cNvGraphicFramePr>
              <a:graphicFrameLocks noChangeAspect="1"/>
            </wp:cNvGraphicFramePr>
            <a:graphic>
              <a:graphicData uri="http://schemas.openxmlformats.org/drawingml/2006/picture">
                <pic:pic>
                  <pic:nvPicPr>
                    <pic:cNvPr id="0" name="A 69914-2021 karta.png"/>
                    <pic:cNvPicPr/>
                  </pic:nvPicPr>
                  <pic:blipFill>
                    <a:blip r:embed="rId16"/>
                    <a:stretch>
                      <a:fillRect/>
                    </a:stretch>
                  </pic:blipFill>
                  <pic:spPr>
                    <a:xfrm>
                      <a:off x="0" y="0"/>
                      <a:ext cx="5486400" cy="3875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7033218, E 525399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Violettrandad spindling (VU)</w:t>
      </w:r>
      <w:r>
        <w:t xml:space="preserve"> är en sällsynt barrskogsart som bildar mykorrhiza med tall, i kalktallskog och lavtallskog på kalkrik mark. Intensivt skogsbruk med kalavverkning, markberedning etc. minskar artens möjligheter att överleva och dess minskningstakt uppgår till 30 % inom 50 år och överstiger gränsvärdet för Sårbar (VU). Violettrandad spindling är placerad högst upp i Skogsstyrelsens värdepyramid för bedömning av skog med höga naturvärden och på artens kända växtplatser bör avverkning undvikas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0.56 ha med buffertzonerna och får av detta skäl inte avverkas.</w:t>
      </w:r>
    </w:p>
    <w:p>
      <w:pPr>
        <w:pStyle w:val="Caption"/>
      </w:pPr>
      <w:r>
        <w:drawing>
          <wp:inline xmlns:a="http://schemas.openxmlformats.org/drawingml/2006/main" xmlns:pic="http://schemas.openxmlformats.org/drawingml/2006/picture">
            <wp:extent cx="5486400" cy="4654643"/>
            <wp:docPr id="2" name="Picture 2"/>
            <wp:cNvGraphicFramePr>
              <a:graphicFrameLocks noChangeAspect="1"/>
            </wp:cNvGraphicFramePr>
            <a:graphic>
              <a:graphicData uri="http://schemas.openxmlformats.org/drawingml/2006/picture">
                <pic:pic>
                  <pic:nvPicPr>
                    <pic:cNvPr id="0" name="A 69914-2021 karta knärot.png"/>
                    <pic:cNvPicPr/>
                  </pic:nvPicPr>
                  <pic:blipFill>
                    <a:blip r:embed="rId17"/>
                    <a:stretch>
                      <a:fillRect/>
                    </a:stretch>
                  </pic:blipFill>
                  <pic:spPr>
                    <a:xfrm>
                      <a:off x="0" y="0"/>
                      <a:ext cx="5486400" cy="46546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7033218, E 525399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