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4866-2024 i Strömsunds kommun</w:t>
      </w:r>
    </w:p>
    <w:p>
      <w:r>
        <w:t>Detta klagomål behandlar höga naturvärden i avverkningsanmälan A 4866-2024 i Strömsunds kommun som inkom 2024-02-07 och omfattar 16,8 ha.</w:t>
      </w:r>
    </w:p>
    <w:p>
      <w:pPr>
        <w:pStyle w:val="Caption"/>
      </w:pPr>
      <w:r>
        <w:drawing>
          <wp:inline xmlns:a="http://schemas.openxmlformats.org/drawingml/2006/main" xmlns:pic="http://schemas.openxmlformats.org/drawingml/2006/picture">
            <wp:extent cx="5486400" cy="4457126"/>
            <wp:docPr id="1" name="Picture 1"/>
            <wp:cNvGraphicFramePr>
              <a:graphicFrameLocks noChangeAspect="1"/>
            </wp:cNvGraphicFramePr>
            <a:graphic>
              <a:graphicData uri="http://schemas.openxmlformats.org/drawingml/2006/picture">
                <pic:pic>
                  <pic:nvPicPr>
                    <pic:cNvPr id="0" name="A 4866-2024 karta.png"/>
                    <pic:cNvPicPr/>
                  </pic:nvPicPr>
                  <pic:blipFill>
                    <a:blip r:embed="rId16"/>
                    <a:stretch>
                      <a:fillRect/>
                    </a:stretch>
                  </pic:blipFill>
                  <pic:spPr>
                    <a:xfrm>
                      <a:off x="0" y="0"/>
                      <a:ext cx="5486400" cy="4457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7144523, E 475505 i SWEREF 99 TM.</w:t>
      </w:r>
    </w:p>
    <w:p>
      <w:r>
        <w:t>I avverkningsanmälan finns fynd av 11 naturvårdsarter, varav 9 är rödlistade, 4 är fridlysta och 10 är typiska (T): garnlav (VU, T), gammelgransskål (NT, T), harticka (NT, T), kötticka (NT), lavskrika (NT, T, §4), rödbrun blekspik (NT, T), skrovellav (NT, T), tretåig hackspett (NT, T, §4), ullticka (NT,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