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9593-2026 i Strömsunds kommun</w:t>
      </w:r>
    </w:p>
    <w:p>
      <w:r>
        <w:t>Denna tillsynsbegäran behandlar höga naturvärden i avverkningsanmälan A 9593-2026 i Strömsunds kommun som inkom 2026-02-18 och omfattar 19,1 ha.</w:t>
      </w:r>
    </w:p>
    <w:p>
      <w:pPr>
        <w:pStyle w:val="Caption"/>
      </w:pPr>
      <w:r>
        <w:drawing>
          <wp:inline xmlns:a="http://schemas.openxmlformats.org/drawingml/2006/main" xmlns:pic="http://schemas.openxmlformats.org/drawingml/2006/picture">
            <wp:extent cx="5486400" cy="4787234"/>
            <wp:docPr id="1" name="Picture 1"/>
            <wp:cNvGraphicFramePr>
              <a:graphicFrameLocks noChangeAspect="1"/>
            </wp:cNvGraphicFramePr>
            <a:graphic>
              <a:graphicData uri="http://schemas.openxmlformats.org/drawingml/2006/picture">
                <pic:pic>
                  <pic:nvPicPr>
                    <pic:cNvPr id="0" name="A 9593-2026 karta.png"/>
                    <pic:cNvPicPr/>
                  </pic:nvPicPr>
                  <pic:blipFill>
                    <a:blip r:embed="rId16"/>
                    <a:stretch>
                      <a:fillRect/>
                    </a:stretch>
                  </pic:blipFill>
                  <pic:spPr>
                    <a:xfrm>
                      <a:off x="0" y="0"/>
                      <a:ext cx="5486400" cy="4787234"/>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7141846, E 471445 i SWEREF 99 TM.</w:t>
      </w:r>
    </w:p>
    <w:p>
      <w:r>
        <w:t>I och inom 6 meter från avverkningsanmälan finns fynd av 17 naturvårdsarter, varav 11 är rödlistade, 2 är fridlysta, 11 är typiska (T) och 6 är signalarter (S): amerikansk sönderfallslav (VU), Cliostomum piceicola (VU), garnlav (VU, T), norsk näverlav (VU), skäggvaxskivling (VU), brunpudrad nållav (NT, T), harticka (NT, T), luddfingersvamp (NT), lunglav (NT, T), skrovellav (NT, T), tretåig hackspett (NT, T, §4), bårdlav (S, T), gulnål (S, T), gytterlav (S, T), spindelblomster (S, T, §8), stuplav (S, T)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Amerikansk sönderfallslav (VU) </w:t>
      </w:r>
      <w:r>
        <w:t>är en synnerligen ovanlig lav som växer på gamla sälgar och granar i naturskog med mycket hög och jämn luftfuktighet. Avverkning av kontinuitetsskog samt ändringar av lokalklimatet som medför en minskning av luftfuktigheten hotar arten. Områden med amerikansk sönderfallslav måste skyddas (SLU Artdatabanken, 2024).</w:t>
      </w:r>
    </w:p>
    <w:p>
      <w:r>
        <w:rPr>
          <w:b/>
          <w:i/>
        </w:rPr>
        <w:t>Cliostomum piceicola</w:t>
      </w:r>
      <w:r>
        <w:rPr>
          <w:b/>
        </w:rPr>
        <w:t xml:space="preserve"> (VU) </w:t>
      </w:r>
      <w:r>
        <w:t>är en nyligen beskriven dropplav (2017) som huvudsakligen växer på gamla senvuxna granar i kontinuitetsskogar med hög luftfuktighet i Skandinavien och Ryssland. Avverkning av kontinuitetsskog är ett hot (SLU Artdatabanken, 2024; Holien &amp; Tønsberg, 2017).</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 xml:space="preserve">Skäggvaxskivling (VU) </w:t>
      </w:r>
      <w:r>
        <w:t>bildar mykorrhiza med gran i äldre ängs- och blåbärsgranskog på kalkrik mark. De gamla, orörda skogarnas tillbakagång innebär att arten missgynnas och många växtplatser riskerar att utplånas av skogsbruksåtgärder. På lokaler med känd förekomst bör avverkning helt undvikas eller bedrivas i form av plockhuggning eller blädning. Arten bör eftersökas i äldre barrskog i Norrland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brunpudrad nållav (NT, T), harticka (NT, T), lunglav (NT, T), skrovellav (NT, T), tretåig hackspett (NT, T, §4), bårdlav (S, T), gulnål (S, T), gytterlav (S, T), spindelblomster (S, T, §8)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