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68481-2020 i Strömsunds kommun</w:t>
      </w:r>
    </w:p>
    <w:p>
      <w:r>
        <w:t>Detta dokument behandlar höga naturvärden i avverkningsanmälan A 68481-2020 i Strömsunds kommun. Denna avverkningsanmälan inkom 2020-12-21 00:00:00 och omfattar 100,6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24 naturvårdsarter hittats: norsk näverlav (VU), skuggnål (VU), brunpudrad nållav (NT), gammelgransskål (NT), garnlav (NT), granticka (NT), gränsticka (NT), nordlig nållav (NT), rödbrun blekspik (NT), skorpgelélav (NT), skrovellav (NT), tretåig hackspett (NT, §4), vitgrynig nållav (NT), gulnål (S), gytterlav (S), källmossor (S), källpraktmossa (S), luddlav (S), mörk husmossa (S), skogshakmossa (S), sotlav (S), spindelblomster (S, §8), stuplav (S) och västlig hakmossa (S). Av dessa är 13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00987"/>
            <wp:docPr id="1" name="Picture 1"/>
            <wp:cNvGraphicFramePr>
              <a:graphicFrameLocks noChangeAspect="1"/>
            </wp:cNvGraphicFramePr>
            <a:graphic>
              <a:graphicData uri="http://schemas.openxmlformats.org/drawingml/2006/picture">
                <pic:pic>
                  <pic:nvPicPr>
                    <pic:cNvPr id="0" name="A 68481-2020 karta.png"/>
                    <pic:cNvPicPr/>
                  </pic:nvPicPr>
                  <pic:blipFill>
                    <a:blip r:embed="rId16"/>
                    <a:stretch>
                      <a:fillRect/>
                    </a:stretch>
                  </pic:blipFill>
                  <pic:spPr>
                    <a:xfrm>
                      <a:off x="0" y="0"/>
                      <a:ext cx="5486400" cy="4600987"/>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7161958, E 437147 i SWEREF 99 TM.</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Gammelgransskål (NT)</w:t>
      </w:r>
      <w:r>
        <w:t xml:space="preserve"> är en liten skålsvamp som växer på gamla granar med skrovlig bark. Typiska växtplatser är gransumpskog i myrkanter, bäckdråg, bäckraviner och skuggiga bergssluttningar, men också skog på torrare mark kan hysa arten om beståndet har stark naturskogskaraktär. Bestånd med arten bör behandlas som nyckelbiotoper och sparas vid en slutavverkning. Även gallring bör undvikas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 xml:space="preserve">Mörk husmossa </w:t>
      </w:r>
      <w:r>
        <w:t>är en mycket bra signalart i södra och mellersta Sverige. Den är sannolikt svårspridd och växer huvudsakligen i skog med lång skoglig kontinuitet i områden med konstant hög luftfuktighet. Den är känslig för större avverkningar, men tål plockhuggning som lämnar ett tätare trädskikt och ett obrutet, fukthållande mosstäcke på marken. Ett par studier har klart visat att artens tillväxt försämras när skogen huggs ner intill växtplatsen, och att ett kalhygges påverkan på mörk husmossa avtar både med avståndet från kalhygget och ju fuktigare växtplatsen är (SLU Artdatabanken, 2024; Nitare &amp; Skogsstyrelsen, 2019).</w:t>
      </w:r>
    </w:p>
    <w:p>
      <w:r>
        <w:rPr>
          <w:b/>
        </w:rPr>
        <w:t>Nordlig nållav (NT)</w:t>
      </w:r>
      <w:r>
        <w:t xml:space="preserve"> signalerar alltid miljöer med höga naturvärden. På lokalerna förekommer nästan alltid andra rödlistade eller ovanliga arter knutna till gamla skogar. Alla skogsskötselåtgärder på eller i omedelbar närhet av lokalerna utgör ett hot. Några av lavens rikaste förekomster bör skyddas (SLU Artdatabanken, 2024; Nitare &amp; Skogsstyrelsen, 2019).</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Rödbrun blekspik (NT)</w:t>
      </w:r>
      <w:r>
        <w:t xml:space="preserve"> växer i norra Sverige på bark och ved av björk och gran i skogar med hög och jämn luftfuktighet. I södra Sverige växer den främst på ek i öppna åldriga lövskogar. I norra delen av sitt utbredningsområde hotas arten av slutavverkningar av gamla granskogar. I den södra delen av landet hotas den genom de åldriga lövskogarnas tillbakagång och särskilt ekhagarnas igenväxning och genom plantering av sådan mark med barrskog. Rödbrun blekspik signalerar alltid höga naturvärden (SLU Artdatabanken, 2024;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 xml:space="preserve">Skuggnål (VU) </w:t>
      </w:r>
      <w:r>
        <w:t>växer främst vid basen av gamla grova granar i gamla boreala barrskogar med hög bonitet och mycket hög luftfuktighet. Minskningstakten har uppgått till 30 (20–50) % under de senaste 50 åren och överstiger gränsvärdet för Sårbar (VU) enligt A-kriteriet. (A2bc+4bc). Vid skogliga inventeringar är skuggnål en art som måste eftersökas och dess växtplatser ska bedömas som nyckelbiotoper (SLU Artdatabanken, 2024).</w:t>
      </w:r>
    </w:p>
    <w:p>
      <w:r>
        <w:rPr>
          <w:b/>
        </w:rPr>
        <w:t>Sotlav</w:t>
      </w:r>
      <w:r>
        <w:t xml:space="preserve"> är överallt en mycket bra signalart och visar alltid på skogsmiljöer med höga naturvärden. Den indikerar långvarig förekomst av gamla eller döda träd. På lavens växtlokaler finns vanligen många andra ovanliga arter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tretåig hackspett (NT, §4) och spindelblomster (S, §8).</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24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24 naturvårdsarter varav 13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2025-10-02</w:t>
      <w:br/>
      <w:br/>
    </w:r>
    <w:r>
      <w:t>Till: Holmen skog AB</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