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12045-2026 i Strömsunds kommun</w:t>
      </w:r>
    </w:p>
    <w:p>
      <w:r>
        <w:t>Detta klagomål behandlar höga naturvärden i avverkningsanmälan A 12045-2026 i Strömsunds kommun som inkom 2026-03-05 och omfattar 7,1 ha.</w:t>
      </w:r>
    </w:p>
    <w:p>
      <w:pPr>
        <w:pStyle w:val="Caption"/>
      </w:pPr>
      <w:r>
        <w:drawing>
          <wp:inline xmlns:a="http://schemas.openxmlformats.org/drawingml/2006/main" xmlns:pic="http://schemas.openxmlformats.org/drawingml/2006/picture">
            <wp:extent cx="5486400" cy="5184742"/>
            <wp:docPr id="1" name="Picture 1"/>
            <wp:cNvGraphicFramePr>
              <a:graphicFrameLocks noChangeAspect="1"/>
            </wp:cNvGraphicFramePr>
            <a:graphic>
              <a:graphicData uri="http://schemas.openxmlformats.org/drawingml/2006/picture">
                <pic:pic>
                  <pic:nvPicPr>
                    <pic:cNvPr id="0" name="A 12045-2026 karta.png"/>
                    <pic:cNvPicPr/>
                  </pic:nvPicPr>
                  <pic:blipFill>
                    <a:blip r:embed="rId16"/>
                    <a:stretch>
                      <a:fillRect/>
                    </a:stretch>
                  </pic:blipFill>
                  <pic:spPr>
                    <a:xfrm>
                      <a:off x="0" y="0"/>
                      <a:ext cx="5486400" cy="51847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7040677, E 533062 i SWEREF 99 TM.</w:t>
      </w:r>
    </w:p>
    <w:p>
      <w:r>
        <w:t>I avverkningsanmälan finns fynd av 7 naturvårdsarter, varav 4 är rödlistade, 1 är fridlyst, 6 är typiska (T) och 3 är signalarter (S): garnlav (VU, T), lunglav (NT, T), tretåig hackspett (NT, T, §4), vitgrynig nållav (NT), bårdlav (S, T), luddlav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