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44 naturvårdsarter, varav 33 är rödlistade, 3 är fridlysta, 23 är typiska (T) och 10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strutbräken (S, T), stuplav (S, T), trådticka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kransrams (S, T), rostfläck (S, T), sotlav (S, T), strutbräken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