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44 naturvårdsarter, varav 33 är rödlistade, 3 är fridlysta, 23 är typiska (T) och 10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strutbräken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kransrams (S, T), rostfläck (S, T), sotlav (S, T), strutbräken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