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21091-2022 i Strömsunds kommun</w:t>
      </w:r>
    </w:p>
    <w:p>
      <w:r>
        <w:t>Detta klagomål behandlar höga naturvärden i avverkningsanmälan A 21091-2022 i Strömsunds kommun som inkom 2022-05-18 och omfattar 26,9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A 21091-2022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7179587, E 453395 i SWEREF 99 TM.</w:t>
      </w:r>
    </w:p>
    <w:p>
      <w:r>
        <w:t>I och inom 23 meter från avverkningsanmälan finns fynd av 8 naturvårdsarter, varav 2 är rödlistade, 2 är fridlysta, 5 är typiska (T) och 4 är signalarter (S): svämskapania (EN), brunpudrad nållav (NT, T), gulnål (S, T), kransrams (S, T), strutbräken (S, T), sätertrumpetmossa (S), mattlummer (T, §9)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Svämskapania (EN)</w:t>
      </w:r>
      <w:r>
        <w:t xml:space="preserve"> växer i skuggiga skogsmiljöer på död ved av lågor som tidvis översvämmas. Arten är rödlistad som starkt hotad (EN) i den europeiska rödlistan och omfattas av ett åtgärdsprogram för hotade arter (ÅGP). Alla skogsskötselåtgärder på eller i närheten av lokalerna utgör ett hot och alla nu kända och eventuella nyupptäckta förekomster bör skyddas så att inga skogsbruksåtgärder tillåts i närheten av där arten förekommer. Även alla åtgärder som kan förändra hydrologin i området bör förhindras (IUCN, 2024; SLU Artdatabanken, 2024; Naturvårdsverket 2015).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Sätertrumpetmossa </w:t>
      </w:r>
      <w:r>
        <w:t>är en sällsynt art som växer i örtrika branter och raviner i fjällnära skogar. Sätertrumpetmossans lokaler bör bevakas av berörda myndigheter, så att inte exploatering slår ut arten (SLU Artdatabanken, 2025).</w:t>
      </w:r>
    </w:p>
    <w:p>
      <w:r>
        <w:rPr>
          <w:b/>
        </w:rPr>
        <w:t>Mattlummer (§9)</w:t>
      </w:r>
      <w:r>
        <w:t xml:space="preserve"> är typisk art för </w:t>
      </w:r>
      <w:r>
        <w:rPr>
          <w:i/>
        </w:rPr>
        <w:t xml:space="preserve">9010 Taiga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