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23313-2025 i Strömsunds kommun</w:t>
      </w:r>
    </w:p>
    <w:p>
      <w:r>
        <w:t>Detta klagomål behandlar höga naturvärden i avverkningsanmälan A 23313-2025 i Strömsunds kommun som inkom 2025-05-14 och omfattar 5,8 ha.</w:t>
      </w:r>
    </w:p>
    <w:p>
      <w:pPr>
        <w:pStyle w:val="Caption"/>
      </w:pPr>
      <w:r>
        <w:drawing>
          <wp:inline xmlns:a="http://schemas.openxmlformats.org/drawingml/2006/main" xmlns:pic="http://schemas.openxmlformats.org/drawingml/2006/picture">
            <wp:extent cx="5486400" cy="4713736"/>
            <wp:docPr id="1" name="Picture 1"/>
            <wp:cNvGraphicFramePr>
              <a:graphicFrameLocks noChangeAspect="1"/>
            </wp:cNvGraphicFramePr>
            <a:graphic>
              <a:graphicData uri="http://schemas.openxmlformats.org/drawingml/2006/picture">
                <pic:pic>
                  <pic:nvPicPr>
                    <pic:cNvPr id="0" name="A 23313-2025 karta.png"/>
                    <pic:cNvPicPr/>
                  </pic:nvPicPr>
                  <pic:blipFill>
                    <a:blip r:embed="rId16"/>
                    <a:stretch>
                      <a:fillRect/>
                    </a:stretch>
                  </pic:blipFill>
                  <pic:spPr>
                    <a:xfrm>
                      <a:off x="0" y="0"/>
                      <a:ext cx="5486400" cy="471373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7058507, E 516000 i SWEREF 99 TM.</w:t>
      </w:r>
    </w:p>
    <w:p>
      <w:r>
        <w:t>I och inom 2 meter från avverkningsanmälan finns fynd av 12 naturvårdsarter, varav 5 är rödlistade, 12 är fridlysta och 3 är typiska (T): storspov (EN, §4), enkelbeckasin (NT, §4), lavskrika (NT, T, §4), rödvingetrast (NT, §4), talltita (NT, §4), spillkråka (T, §4), tjäder (T, §4), grönsiska (§4), kungsfågel (§4), orre (§4), trana (§4) och ärtsångare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