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47636-2022 i Strömsunds kommun</w:t>
      </w:r>
    </w:p>
    <w:p>
      <w:r>
        <w:t>Detta klagomål behandlar höga naturvärden i avverkningsanmälan A 47636-2022 i Strömsunds kommun som inkom 2022-10-20 och omfattar 18,7 ha.</w:t>
      </w:r>
    </w:p>
    <w:p>
      <w:pPr>
        <w:pStyle w:val="Caption"/>
      </w:pPr>
      <w:r>
        <w:drawing>
          <wp:inline xmlns:a="http://schemas.openxmlformats.org/drawingml/2006/main" xmlns:pic="http://schemas.openxmlformats.org/drawingml/2006/picture">
            <wp:extent cx="5486400" cy="4619625"/>
            <wp:docPr id="1" name="Picture 1"/>
            <wp:cNvGraphicFramePr>
              <a:graphicFrameLocks noChangeAspect="1"/>
            </wp:cNvGraphicFramePr>
            <a:graphic>
              <a:graphicData uri="http://schemas.openxmlformats.org/drawingml/2006/picture">
                <pic:pic>
                  <pic:nvPicPr>
                    <pic:cNvPr id="0" name="A 47636-2022 karta.png"/>
                    <pic:cNvPicPr/>
                  </pic:nvPicPr>
                  <pic:blipFill>
                    <a:blip r:embed="rId16"/>
                    <a:stretch>
                      <a:fillRect/>
                    </a:stretch>
                  </pic:blipFill>
                  <pic:spPr>
                    <a:xfrm>
                      <a:off x="0" y="0"/>
                      <a:ext cx="5486400" cy="4619625"/>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7169980, E 454097 i SWEREF 99 TM.</w:t>
      </w:r>
    </w:p>
    <w:p>
      <w:r>
        <w:t>I och inom 24 meter från avverkningsanmälan finns fynd av 38 naturvårdsarter, varav 13 är rödlistade, 8 är fridlysta, 25 är typiska (T) och 17 är signalarter (S): garnlav (VU, T), gränsticka (VU, T), knärot (VU, T, §8), norsk näverlav (VU), flattoppad klubbsvamp (NT), gammelgransskål (NT, T), harticka (NT, T), Rostania effusa (NT), Rostania pallida (NT), rödbrun blekspik (NT, T), skrovellav (NT, T), stjärntagging (NT, T), vitgrynig nållav (NT), bårdlav (S, T), grönkulla (S, T, §8), guldkremla (S), gulnål (S, T), gytterlav (S, T), korallrot (S, T, §8), kransrams (S, T), källmossa (S), källmossor (S), luddlav (S, T), mörk husmossa (S, T), spindelblomster (S, T, §8), stuplav (S, T), svavelriska (S), tvåblad (S, §8), vedticka (S, T), ögonpyrola (S, T), kransmossa (T), kärrfibbla (T), lundarv (T), nordisk stormhatt (T), torta (T), skogsrör (§7), fläcknycklar (§8) och käppkrokmossa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1.91 ha med buffertzonerna och får av detta skäl inte avverkas.</w:t>
      </w:r>
    </w:p>
    <w:p>
      <w:pPr>
        <w:pStyle w:val="Caption"/>
      </w:pPr>
      <w:r>
        <w:drawing>
          <wp:inline xmlns:a="http://schemas.openxmlformats.org/drawingml/2006/main" xmlns:pic="http://schemas.openxmlformats.org/drawingml/2006/picture">
            <wp:extent cx="5486400" cy="5930693"/>
            <wp:docPr id="2" name="Picture 2"/>
            <wp:cNvGraphicFramePr>
              <a:graphicFrameLocks noChangeAspect="1"/>
            </wp:cNvGraphicFramePr>
            <a:graphic>
              <a:graphicData uri="http://schemas.openxmlformats.org/drawingml/2006/picture">
                <pic:pic>
                  <pic:nvPicPr>
                    <pic:cNvPr id="0" name="A 47636-2022 karta knärot.png"/>
                    <pic:cNvPicPr/>
                  </pic:nvPicPr>
                  <pic:blipFill>
                    <a:blip r:embed="rId17"/>
                    <a:stretch>
                      <a:fillRect/>
                    </a:stretch>
                  </pic:blipFill>
                  <pic:spPr>
                    <a:xfrm>
                      <a:off x="0" y="0"/>
                      <a:ext cx="5486400" cy="593069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7169980, E 454097 i SWEREF 99 TM.</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i/>
        </w:rPr>
        <w:t xml:space="preserve">Rostania effusa </w:t>
      </w:r>
      <w:r>
        <w:rPr>
          <w:b/>
        </w:rPr>
        <w:t>(NT)</w:t>
      </w:r>
      <w:r>
        <w:t xml:space="preserve"> är en sällsynt lav som växer på gamla lövträd och kräver, åtminstone periodvis, hög luftfuktighet. Oftast står lövträden inne i gammal barrskog. Arten påverkas negativt av brist på kontinuitetsskog och en minskning av populationen pågår eller förväntas ske. Minskningen avser förekomstarea, kvalitén på artens habitat, antalet lokalområden och antalet reproduktiva individer (SLU Artdatabanken, 2026).</w:t>
      </w:r>
    </w:p>
    <w:p>
      <w:r>
        <w:rPr>
          <w:b/>
          <w:i/>
        </w:rPr>
        <w:t xml:space="preserve">Rostania pallida </w:t>
      </w:r>
      <w:r>
        <w:rPr>
          <w:b/>
        </w:rPr>
        <w:t>(NT)</w:t>
      </w:r>
      <w:r>
        <w:t xml:space="preserve"> är en sällsynt lav som växer på gamla lövträd och kräver, åtminstone periodvis, hög luftfuktighet. Oftast står lövträden inne i gammal barrskog. Arten påverkas negativt av brist på kontinuitetsskog och en minskning av populationen pågår eller förväntas ske. Minskningstakten för den svenska populationen bedöms vara nära gränsvärdet för sårbar (VU) (SLU Artdatabanken, 2026).</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Kransrams</w:t>
      </w:r>
      <w:r>
        <w:t xml:space="preserve"> är typisk art för </w:t>
      </w:r>
      <w:r>
        <w:rPr>
          <w:i/>
        </w:rPr>
        <w:t xml:space="preserve">9020 Nordlig ädellövskog </w:t>
      </w:r>
      <w:r>
        <w:t>(SLU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Kärrfibbla</w:t>
      </w:r>
      <w:r>
        <w:t xml:space="preserve"> är typisk art för </w:t>
      </w:r>
      <w:r>
        <w:rPr>
          <w:i/>
        </w:rPr>
        <w:t xml:space="preserve">9050 Näringsrik granskog, 9080 Lövsumpskog </w:t>
      </w:r>
      <w:r>
        <w:t>och</w:t>
      </w:r>
      <w:r>
        <w:rPr>
          <w:i/>
        </w:rPr>
        <w:t xml:space="preserve"> 9040 Fjällbjörkskog </w:t>
      </w:r>
      <w:r>
        <w:t>(SLU Artdatabanken, 2025).</w:t>
      </w:r>
    </w:p>
    <w:p>
      <w:r>
        <w:rPr>
          <w:b/>
        </w:rPr>
        <w:t>Lundarv</w:t>
      </w:r>
      <w:r>
        <w:t xml:space="preserve"> är typisk art för </w:t>
      </w:r>
      <w:r>
        <w:rPr>
          <w:i/>
        </w:rPr>
        <w:t xml:space="preserve">9130 Näringsrik bokskog </w:t>
      </w:r>
      <w:r>
        <w:t>(SLU Artdatabanken, 2025).</w:t>
      </w:r>
    </w:p>
    <w:p>
      <w:r>
        <w:rPr>
          <w:b/>
        </w:rPr>
        <w:t>Nordisk stormhatt</w:t>
      </w:r>
      <w:r>
        <w:t xml:space="preserve"> är typisk art för </w:t>
      </w:r>
      <w:r>
        <w:rPr>
          <w:i/>
        </w:rPr>
        <w:t xml:space="preserve">9050 Näringsrik granskog, 9040 Fjällbjörkskog </w:t>
      </w:r>
      <w:r>
        <w:t xml:space="preserve">och </w:t>
      </w:r>
      <w:r>
        <w:rPr>
          <w:i/>
        </w:rPr>
        <w:t>6430 Högörtängar</w:t>
      </w:r>
      <w:r>
        <w:t>. Stormhattsrotvecklare (NT) samt stormhattshumla, som är rödlistad som nära hotad (NT) på den europeiska rödlistan, är knuten till nordisk stormhatt</w:t>
      </w:r>
      <w:r>
        <w:rPr>
          <w:i/>
        </w:rPr>
        <w:t xml:space="preserve"> </w:t>
      </w:r>
      <w:r>
        <w:t>(SLU Artdatabanken, 2026; IUCN, 2025).</w:t>
      </w:r>
    </w:p>
    <w:p>
      <w:r>
        <w:rPr>
          <w:b/>
        </w:rPr>
        <w:t xml:space="preserve">Torta </w:t>
      </w:r>
      <w:r>
        <w:t xml:space="preserve">är typisk art för </w:t>
      </w:r>
      <w:r>
        <w:rPr>
          <w:i/>
        </w:rPr>
        <w:t xml:space="preserve">9050 Näringsrik granskog </w:t>
      </w:r>
      <w:r>
        <w:t xml:space="preserve">och </w:t>
      </w:r>
      <w:r>
        <w:rPr>
          <w:i/>
        </w:rPr>
        <w:t xml:space="preserve">9040 Fjällbjörkskog </w:t>
      </w:r>
      <w:r>
        <w:t>(SLU Artdatabanken, 2025).</w:t>
      </w:r>
    </w:p>
    <w:p>
      <w:r>
        <w:rPr>
          <w:b/>
        </w:rPr>
        <w:t>Skogsrör (§7)</w:t>
      </w:r>
      <w:r>
        <w:t xml:space="preserve"> är strikt skyddad enligt EU:s art- och habitatdirektiv och fridlyst enligt §7 Artskyddsförordningen (bilaga 1) vilket innebär att hela dess livsmiljö ska bevaras. Arten är en svensk-norsk endem som förekommer sparsamt till sällsynt i mellersta Norrland, i såväl lågland som fjällnära delar. Den är något kalkgynnad och växer i fuktiga-friska, gärna sluttande och rika skogar, både gran-, bland och björkskogar, i myrkanter samt längs vattendrag och raviner. Skogsrör är känslig för dränering och på dikade lokaler bör hydrologin återställas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30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38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