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33440-2026 i Strömsunds kommun</w:t>
      </w:r>
    </w:p>
    <w:p>
      <w:r>
        <w:t>Denna tillsynsbegäran behandlar höga naturvärden i avverkningsanmälan A 33440-2026 i Strömsunds kommun som inkom 2026-08-13 och omfattar 15,8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33440-2026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7131183, E 504039 i SWEREF 99 TM.</w:t>
      </w:r>
    </w:p>
    <w:p>
      <w:r>
        <w:t>I och inom 10 meter från avverkningsanmälan finns fynd av 20 naturvårdsarter, varav 16 är rödlistade, 3 är fridlysta, 11 är typiska (T) och 2 är signalarter (S): fläckporing (VU, T), garnlav (VU, T), gräddporing (VU, T), smalfotad taggsvamp (VU), blanksvart spiklav (NT), blågrå svartspik (NT), dropptaggsvamp (NT, T), dvärgbägarlav (NT, T), kolflarnlav (NT, T), mörk kolflarnlav (NT), nordtagging (NT), talltagel (NT, T), talltita (NT, §4), vaddporing (NT), vedflamlav (NT), vedskivlav (NT, T), sotlav (S, T), vedticka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dvärgbägarlav (NT, T), kolflarnlav (NT, T), talltagel (NT, T), vedskivlav (NT, T), sotlav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