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34775-2023 i Strömsunds kommun</w:t>
      </w:r>
    </w:p>
    <w:p>
      <w:r>
        <w:t>Denna tillsynsbegäran behandlar höga naturvärden i avverkningsanmälan A 34775-2023 i Strömsunds kommun som inkom 2023-08-02 och omfattar 9,2 ha.</w:t>
      </w:r>
    </w:p>
    <w:p>
      <w:pPr>
        <w:pStyle w:val="Caption"/>
      </w:pPr>
      <w:r>
        <w:drawing>
          <wp:inline xmlns:a="http://schemas.openxmlformats.org/drawingml/2006/main" xmlns:pic="http://schemas.openxmlformats.org/drawingml/2006/picture">
            <wp:extent cx="5032278" cy="5724000"/>
            <wp:docPr id="1" name="Picture 1"/>
            <wp:cNvGraphicFramePr>
              <a:graphicFrameLocks noChangeAspect="1"/>
            </wp:cNvGraphicFramePr>
            <a:graphic>
              <a:graphicData uri="http://schemas.openxmlformats.org/drawingml/2006/picture">
                <pic:pic>
                  <pic:nvPicPr>
                    <pic:cNvPr id="0" name="A 34775-2023 karta.png"/>
                    <pic:cNvPicPr/>
                  </pic:nvPicPr>
                  <pic:blipFill>
                    <a:blip r:embed="rId16"/>
                    <a:stretch>
                      <a:fillRect/>
                    </a:stretch>
                  </pic:blipFill>
                  <pic:spPr>
                    <a:xfrm>
                      <a:off x="0" y="0"/>
                      <a:ext cx="503227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7140880, E 471057 i SWEREF 99 TM.</w:t>
      </w:r>
    </w:p>
    <w:p>
      <w:r>
        <w:t>I och inom 25 meter från avverkningsanmälan finns fynd av 26 naturvårdsarter, varav 16 är rödlistade, 9 är fridlysta, 14 är typiska (T) och 7 är signalarter (S): blackticka (VU), gränsticka (VU, T), kilporing (VU), knärot (VU, T, §8), kopparspindling (VU), gröntagging (NT), lavskrika (NT, T, §4), lunglav (NT, T), persiljespindling (NT), Phellodon dititomentosus (NT), puderspindling (NT), skogsfru (NT, §8), sotvaxskivling (NT), tretåig hackspett (NT, T, §4), ullticka (NT, T), äggvaxskivling (NT), bårdlav (S, T), korallrot (S, T, §8), kransrams (S, T), spindelblomster (S, T, §8), stor aspticka (S, T), strimspindling (S), vedticka (S, T), järpe (T, §4),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5.36 ha med buffertzonerna och får av detta skäl inte avverkas.</w:t>
      </w:r>
    </w:p>
    <w:p>
      <w:pPr>
        <w:pStyle w:val="Caption"/>
      </w:pPr>
      <w:r>
        <w:drawing>
          <wp:inline xmlns:a="http://schemas.openxmlformats.org/drawingml/2006/main" xmlns:pic="http://schemas.openxmlformats.org/drawingml/2006/picture">
            <wp:extent cx="5486400" cy="5744694"/>
            <wp:docPr id="2" name="Picture 2"/>
            <wp:cNvGraphicFramePr>
              <a:graphicFrameLocks noChangeAspect="1"/>
            </wp:cNvGraphicFramePr>
            <a:graphic>
              <a:graphicData uri="http://schemas.openxmlformats.org/drawingml/2006/picture">
                <pic:pic>
                  <pic:nvPicPr>
                    <pic:cNvPr id="0" name="A 34775-2023 karta knärot.png"/>
                    <pic:cNvPicPr/>
                  </pic:nvPicPr>
                  <pic:blipFill>
                    <a:blip r:embed="rId17"/>
                    <a:stretch>
                      <a:fillRect/>
                    </a:stretch>
                  </pic:blipFill>
                  <pic:spPr>
                    <a:xfrm>
                      <a:off x="0" y="0"/>
                      <a:ext cx="5486400" cy="57446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7140880, E 471057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lavskrika (NT, T, §4), lunglav (NT, T), tretåig hackspett (NT, T, §4), ullticka (NT, T), bårdlav (S, T), korallrot (S, T, §8), kransrams (S, T), spindelblomster (S, T, §8), stor aspticka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