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32794-2025 i Strömsunds kommun</w:t>
      </w:r>
    </w:p>
    <w:p>
      <w:r>
        <w:t>Denna tillsynsbegäran behandlar höga naturvärden i avverkningsanmälan A 32794-2025 i Strömsunds kommun som inkom 2025-07-01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7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7095976, E 537995 i SWEREF 99 TM.</w:t>
      </w:r>
    </w:p>
    <w:p>
      <w:r>
        <w:t>I avverkningsanmälan finns fynd av 3 naturvårdsarter, varav 3 är fridlysta, 2 är typiska (T) och 1 är signalart (S): plattlummer (S, T, §9), mattlummer (T, §9) och skogsrör (§7).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>Skogsrör (§7)</w:t>
      </w:r>
      <w:r>
        <w:t xml:space="preserve"> är strikt skyddad enligt EU:s art- och habitatdirektiv och fridlyst enligt §7 Artskyddsförordningen (bilaga 1) vilket innebär att hela dess livsmiljö ska bevaras. Arten är en svensk-norsk endem som förekommer sparsamt till sällsynt i mellersta Norrland, i såväl lågland som fjällnära delar. Den är något kalkgynnad och växer i fuktiga-friska, gärna sluttande och rika skogar, både gran-, bland och björkskogar, i myrkanter samt längs vattendrag och raviner. Skogsrör är känslig för dränering och på dikade lokaler bör hydrologin återställas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