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44 naturvårdsarter, varav 33 är rödlistade, 3 är fridlysta, 23 är typiska (T) och 10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strutbräken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