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37713-2025 i Strömsunds kommun</w:t>
      </w:r>
    </w:p>
    <w:p>
      <w:r>
        <w:t>Detta dokument behandlar höga naturvärden i avverkningsanmälan A 37713-2025 i Strömsunds kommun. Denna avverkningsanmälan inkom 2025-08-11 14:27:41 och omfattar 96,6 ha.</w:t>
      </w:r>
    </w:p>
    <w:p>
      <w:r>
        <w:t>Nedan presenteras fynd av naturvårdsarter och fridlysta arter som gjorts i det avverkningsanmälda området, samt relevanta utdrag ur standarderna för FSC, Chain of Custody, Controlled Wood och PEFC. I BILAGA 1 finns artfakta om fridlysta och rödlistade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50 naturvårdsarter hittats: doftticka (VU, §8), knärot (VU, §8), norsk näverlav (VU), sprickporing (VU), ulltickeporing (VU), blå taggsvamp (NT), brunpudrad nållav (NT), doftskinn (NT), dvärgbägarlav (NT), garnlav (NT), granticka (NT), gränsticka (NT), järpe (NT, §4), kolflarnlav (NT), luddfingersvamp (NT), lunglav (NT), mörk kolflarnlav (NT), nordtagging (NT), orange taggsvamp (NT), rosenticka (NT), skrovellav (NT), spillkråka (NT, §4), stjärntagging (NT), talltita (NT, §4), tretåig hackspett (NT, §4), ullticka (NT), vedskivlav (NT), vedtrappmossa (NT), vitgrynig nållav (NT), bårdlav (S), dropptaggsvamp (S), gulnål (S), klippfrullania (S), kransrams (S), luddlav (S), norrlandslav (S), plattlummer (S, §9), skarp dropptaggsvamp (S), skinnlav (S), slanklav (S), spindelblomster (S, §8), stor aspticka (S), stuplav (S), trådticka (S), vanlig flatbagge (S), vedticka (S), vågbandad barkbock (S), tjäder (§4), fläcknycklar (§8) och revlummer (§9). Av dessa är 29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774332"/>
            <wp:docPr id="1" name="Picture 1"/>
            <wp:cNvGraphicFramePr>
              <a:graphicFrameLocks noChangeAspect="1"/>
            </wp:cNvGraphicFramePr>
            <a:graphic>
              <a:graphicData uri="http://schemas.openxmlformats.org/drawingml/2006/picture">
                <pic:pic>
                  <pic:nvPicPr>
                    <pic:cNvPr id="0" name="A 37713-2025 karta.png"/>
                    <pic:cNvPicPr/>
                  </pic:nvPicPr>
                  <pic:blipFill>
                    <a:blip r:embed="rId16"/>
                    <a:stretch>
                      <a:fillRect/>
                    </a:stretch>
                  </pic:blipFill>
                  <pic:spPr>
                    <a:xfrm>
                      <a:off x="0" y="0"/>
                      <a:ext cx="5486400" cy="377433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7090459, E 514388 i SWEREF 99 TM.</w:t>
      </w:r>
    </w:p>
    <w:p>
      <w:r>
        <w:rPr>
          <w:b/>
        </w:rPr>
        <w:t xml:space="preserve">Blå taggsvamp (NT) </w:t>
      </w:r>
      <w:r>
        <w:t>är en karaktärsart i såväl örtrika kalkbarrskogar som i torra sandtallskogar där det föreligger gammal skog med långvarig trädkontinuitet. Är sällsynt och mycket kravfull i södra och mellersta Sverige. Den hotas främst av skogsavverkning och tycks försvinna efter slutavverkning, markberedning och plantering. I kalkgranskogar verkar arten vara mycket känslig. Granskogar med arten bör formellt skydddas (SLU Artdatabanken, 2024; Nitare &amp; Skogsstyrelsen, 2019).</w:t>
      </w:r>
    </w:p>
    <w:p>
      <w:r>
        <w:rPr>
          <w:b/>
        </w:rPr>
        <w:t>Brunpudrad nållav (NT)</w:t>
      </w:r>
      <w:r>
        <w:t xml:space="preserve"> är beroende av hög, jämn luftfuktighet och kan påträffas i fuktiga skogar av naturskogskaraktär, ofta i sumpgranskog eller andra sumpskogar. Arten är placerad högst upp i Skogsstyrelsens värdepyramid för bedömning av skog med höga naturvärden och förekomster bör undantas från skogsbruksåtgärder (SLU Artdatabanken, 2024; Nitare &amp; Skogsstyrelsen, 2019).</w:t>
      </w:r>
    </w:p>
    <w:p>
      <w:r>
        <w:rPr>
          <w:b/>
        </w:rPr>
        <w:t>Doftskinn (NT)</w:t>
      </w:r>
      <w:r>
        <w:t>, rödlistad som nära hotad, är en mycket bra signalart för boreal granskog och indikerar ett gran-skogsekosystem med lång kontinuitet av grova lågor. Arten är placerad i toppen av Skogsstyrelsens värdepyramid för bedömning av skog med höga naturvärden och har klassats som en “urskogsindikator”, då den förekommer med ett tydligt optimum i helt eller nästan helt orörda skogar (Nitare &amp; Skogsstyrelsen, 2019).</w:t>
      </w:r>
    </w:p>
    <w:p>
      <w:r>
        <w:rPr>
          <w:b/>
        </w:rPr>
        <w:t>Dvärgbägarlav (NT)</w:t>
      </w:r>
      <w:r>
        <w:t xml:space="preserve"> förekommer över hela Sverige på gammal hård ved, huvudsakligen på tall men i södra Sverige även på ek. Veden utgörs framförallt av grova stubbar, lågor och grenar. Substratet har blivit sällsyntare och nybildning av substrat sker bara i begränsad omfattning. Arten hotas av att grova lågor blir allt sällsyntare i dagens kulturskogar samt att nybildningen av lämpliga substrat går mycket långsamt. En riklig tillgång på gamla tall- eller eklågor måste säkerställas på artens lokaler (SLU Artdatabanken, 2024; Nitare &amp; Skogsstyrelsen, 2019).</w:t>
      </w:r>
    </w:p>
    <w:p>
      <w:r>
        <w:rPr>
          <w:b/>
        </w:rPr>
        <w:t>Garnlav (NT)</w:t>
      </w:r>
      <w:r>
        <w:t xml:space="preserve"> är en utpräglad barrskogsart som ibland kan drapera träden i norrländska grannaturskogar med hög luftfuktighet. Den förekommer även i talldominerade bestånd där den, förutom i trädens grenverk, påträffas hängande över ojämnheter i tallbarken. Arten har minskat starkt i södra och mellersta Sverige och den minskar även i sitt nordliga utbredningsområde. Orsaken till tillbakagången beror främst på slutavverkningar av naturskogsartade skogar. Bestånd med riklig förekomst bör regelmässigt sparas. Garnlav är värdväxt för den mycket sällsynta och akut hotade fjärilen barrskogslavfly (CR) som hör hemma i boreala barrskogar med riklig förekomst av värdväxten. Tidigare kunde arten konstateras årligen på flera platser vid Dala-Floda i Dalarna innan lokalerna kalavverkades. Senaste fyndet i landet av barrskogslavfly är från år 2000 då den påträffades vid Högberget i Sollefteå kommun (SLU Artdatabanken, 2024).</w:t>
      </w:r>
    </w:p>
    <w:p>
      <w:r>
        <w:rPr>
          <w:b/>
        </w:rPr>
        <w:t>Granticka (NT)</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(SLU Artdatabanken, 2024; Nitare &amp; Skogsstyrelsen, 2019).</w:t>
      </w:r>
    </w:p>
    <w:p>
      <w:r>
        <w:rPr>
          <w:b/>
        </w:rPr>
        <w:t>Gränsticka (NT)</w:t>
      </w:r>
      <w:r>
        <w:t xml:space="preserve"> är en mycket bra signalart inom hela sitt utbredningsområde. Den är huvudsakligen knuten till restbestånd av barrnaturskog och förekommer med ett tydligt optimum i orörda eller måttligt påverkade gamla granskogar där det föreligger långvarig kontinuitet av grov död ved. Lokaler som hyser arten, speciellt i mellersta och södra Sverige, bör undantas från skogsbruk (SLU Artdatabanken, 2024; Nitare &amp; Skogsstyrelsen, 2019).</w:t>
      </w:r>
    </w:p>
    <w:p>
      <w:r>
        <w:rPr>
          <w:b/>
        </w:rPr>
        <w:t>Kolflarnlav (NT)</w:t>
      </w:r>
      <w:r>
        <w:t xml:space="preserve"> är brandberoende och växer nästan uteslutande på kolad hård kärnved av tall. Etableringen verkar ske först 100–300 år efter brand och nytt substrat nybildas i mycket begränsad omfattning. Avverkning av tallskog av naturskogskaraktär med spår av återkommande bränder är ett hot och mängden lämplig ved att växa på för arten minskar dels på grund av naturlig nedbrytning men framförallt på grund av att det förstörs i samband med slutavverkningar, gallringar och markberedning. Såväl kolflarnlav som mörk kolflarnlav har glänsande bålfjäll och förekommer främst i tall- och blandbarrskogar av naturskogskaraktär med spår av återkommande bränder. Skogar som dessa hyser höga biologiska värden och bör skyddas (SLU Artdatabanken, 2024).</w:t>
      </w:r>
    </w:p>
    <w:p>
      <w:r>
        <w:rPr>
          <w:b/>
        </w:rPr>
        <w:t>Luddfingersvamp (NT)</w:t>
      </w:r>
      <w:r>
        <w:t xml:space="preserve"> påträffas på mineralrik mark i granskog med mycket hög luftfuktighet, t.ex. vid källflöden, fuktdråg, bäckar eller i anslutning till vattenfall och forsdimma. Arten är mycket uttorkningskänslig och kräver granskogsmiljöer med konstant mycket hög luftfuktighet. Den tål inte en slutavverkning eller någon form av dränering som påverkar växtplatsens hydrologi (SLU Artdatabanken, 2024).</w:t>
      </w:r>
    </w:p>
    <w:p>
      <w:r>
        <w:rPr>
          <w:b/>
        </w:rPr>
        <w:t>Lunglav (NT)</w:t>
      </w:r>
      <w:r>
        <w:t xml:space="preserve">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Det finns ett antal sällsynta lavparasiter som växer på lunglav: lunglavsknapp (VU), skrovelmössing (DD), lunglavshårprick (DD), </w:t>
      </w:r>
      <w:r>
        <w:rPr>
          <w:i/>
        </w:rPr>
        <w:t>Calycina alstrupii</w:t>
      </w:r>
      <w:r>
        <w:t xml:space="preserve"> (NA) och </w:t>
      </w:r>
      <w:r>
        <w:rPr>
          <w:i/>
        </w:rPr>
        <w:t>Chalara lobariae</w:t>
      </w:r>
      <w:r>
        <w:t xml:space="preserve"> (NA) (SLU Artdatabanken, 2025; SLU Artdatabanken, 2024; Nitare &amp; Skogsstyrelsen, 2019).</w:t>
      </w:r>
    </w:p>
    <w:p>
      <w:r>
        <w:rPr>
          <w:b/>
        </w:rPr>
        <w:t>Mörk kolflarnlav (NT)</w:t>
      </w:r>
      <w:r>
        <w:t xml:space="preserve"> är brandberoende och växer nästan uteslutande på kolad hård kärnved av tall. Arten förekommer främst i glesa, öppna tall- och blandbarrskogar av naturskogskaraktär och etableringen verkar ske sent efter brand, kanske först efter 100–300 år. Mörk kolflarnlav indikerar skog med höga naturvärden och vanligast är att den påträffas på rester av nedbrunna torrakor och högstubbar och lågstubbar som är så grova att hela innandömet är urbränt. Tall- och blandbarrskogar av naturskogskaraktär med spår av återkommande bränder hyser höga biologiska värden och bör skyddas (SLU Artdatabanken, 2024).</w:t>
      </w:r>
    </w:p>
    <w:p>
      <w:r>
        <w:rPr>
          <w:b/>
        </w:rPr>
        <w:t>Nordtagging (NT)</w:t>
      </w:r>
      <w:r>
        <w:t xml:space="preserve"> växer främst på tallågor av grövre dimensioner och påträffas huvudsakligen i äldre skog som inte kalavverkats. Nordtaggingen missgynnas av att områden med äldre tallskog har minskat starkt. Bekämpning av skogsbränder, samtidigt som skogsbruket omvandlar naturligt glesa tallbestånd till likartade och betydligt tätare bestånd, har missgynnat arten. Bristen på gamla tallågor utgör på sikt ett allvarligt hot och återskapandet av lämpliga biotoper tar mycket lång tid. Områden med olikåldriga bestånd av tall och med stort inslag av äldre träd bör undantas från skoglig produktion (SLU Artdatabanken, 2024).</w:t>
      </w:r>
    </w:p>
    <w:p>
      <w:r>
        <w:rPr>
          <w:b/>
        </w:rPr>
        <w:t>Norsk näverlav (VU)</w:t>
      </w:r>
      <w:r>
        <w:t>, rödlistad som sårbar, är en suboceanisk art och påträffas bara i områden med hög och jämn luftfuktighet. Den växer i fuktiga granskogar, främst på stammar eller grenar av äldre björkar och granar. Arten är placerad i toppen av Skogsstyrelsens värdepyramid för bedömning av skog med höga naturvärden och försvinner eller missgynnas starkt vid all form av avverkning på eller i anslutning till lokalerna. Norsk näverlav har en hög andel av sin världspopulation i Norge och Sverige vilket medför ett särskilt ansvar för arten (Nitare &amp; Skogsstyrelsen, 2019; SLU Artdatabanken, 2024).</w:t>
      </w:r>
    </w:p>
    <w:p>
      <w:r>
        <w:rPr>
          <w:b/>
        </w:rPr>
        <w:t xml:space="preserve">Orange taggsvamp (NT) </w:t>
      </w:r>
      <w:r>
        <w:t>bildar mykorrhiza med både gran och tall och den förekommer främst i äldre barrskogar med kontinuitetsskogskaraktär. Mest frekvent är den i äldre mossrik granskog, men då bara i skogar inom granens naturliga utbredningsområde och i bestånd med långvarig grankontinuitet. Den totala populationen i landet bedöms ha minskat kraftigt och fortsatt kommer att minska då arten är knuten till en produktiv skogsmiljö som successivt avverkas. Arten hotas främst av skogsavverkning och tycks försvinna efter slutavverkning, markberedning och plantering och det är inte känt att arten har återkommit i anlagd skog på tidigare kalmark (SLU Artdatabanken, 2024).</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r>
        <w:rPr>
          <w:b/>
        </w:rPr>
        <w:t xml:space="preserve">Skinnlav </w:t>
      </w:r>
      <w:r>
        <w:t>förekommer på diverse lövträd, främst på gammal asp och sälg. Den påträffas främst i områden med lång kontinuitet av grova lövträd och signalerar skogsmark med höga naturvärden. På lokalerna förekommer som regel ett flertal andra ovanliga eller rödlistade lavar. I likhet med gelélavarna, etablerar sig skinnlaven i skogsmark på grova aspar i sena lövsuccessioner (Nitare &amp; Skogsstyrelsen, 2019).</w:t>
      </w:r>
    </w:p>
    <w:p>
      <w:r>
        <w:rPr>
          <w:b/>
        </w:rPr>
        <w:t>Skrovellav (NT)</w:t>
      </w:r>
      <w:r>
        <w:t xml:space="preserve"> växer på gamla lövträd och på klippor i gamla skogar med hög och jämn luftfuktighet. Slutavverkning av kontinuitetsskog utgör det största hotet och lavens fortsatta förekomst bör säkerställas genom att lokaler med äldre skog skyddas. I områden med mycket hög luftfuktighet kan man på bålen av skrovellav finna en sällsynt parasitsvamp med rödbruna apothecier, skrovellavsknapp </w:t>
      </w:r>
      <w:r>
        <w:rPr>
          <w:i/>
        </w:rPr>
        <w:t>Plectocarpon scrobiculatae</w:t>
      </w:r>
      <w:r>
        <w:t xml:space="preserve"> (EN) (SLU Artdatabanken, 2024; Nitare &amp; Skogsstyrelsen, 2019).</w:t>
      </w:r>
    </w:p>
    <w:p>
      <w:r>
        <w:rPr>
          <w:b/>
        </w:rPr>
        <w:t>Sprickporing (VU)</w:t>
      </w:r>
      <w:r>
        <w:t>, rödlistad som sårbar, är en sällsynt art som växer på senvuxen gran i lågproduktiva miljöer, ett substrat som nybildas i mycket liten skala i modern produktionsskog. Arten bedöms ha minskat kraftigt, med mer än 30 % över de senaste 20 åren, huvudsakligen på grund av slutavverkningar. I bestånd där arten förekommer måste skogsbruk undvikas. Fler av artens lokaler bör skyddas (SLU Artdatabanken, 2024).</w:t>
      </w:r>
    </w:p>
    <w:p>
      <w:r>
        <w:rPr>
          <w:b/>
        </w:rPr>
        <w:t>Stjärntagging (NT)</w:t>
      </w:r>
      <w:r>
        <w:t xml:space="preserve"> signalerar inom hela sitt utbredningsområde höga naturvärden. Svampen är uttorkningskänslig och beroende av ett oförändrat fuktigt mikroklimat. Den är även beroende av en ständig tillgång på död ved i olika nedbrytningsstadier, dock ej nödvändigtvis grova träd. Tidigare påverkan på miljön måste dock ha varit så skonsam att det naturliga skogsekosystemet till stora delar har bevarats. Minskningstakten för den svenska populationen bedöms vara nära gränsvärdet för Sårbar (VU) (SLU Artdatabanken, 2024; Nitare &amp; Skogsstyrelsen, 2019).</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(SLU Artdatabanken, 2024; Nitare &amp; Skogsstyrelsen, 2019).</w:t>
      </w:r>
    </w:p>
    <w:p>
      <w:r>
        <w:rPr>
          <w:b/>
        </w:rPr>
        <w:t>Stuplav</w:t>
      </w:r>
      <w:r>
        <w:t xml:space="preserve"> är en mycket bra signalart i hela sitt utbredningsområde och förekommer nästan enbart i skogsmiljöer med höga naturvärden. Den indikerar långvarig förekomst av gamla lövträd och miljöer med konstant hög luftfuktighet. I skogar med suboceaniskt klimat finns det en mycket sällsynt parasit, njurlavsknapp </w:t>
      </w:r>
      <w:r>
        <w:rPr>
          <w:i/>
        </w:rPr>
        <w:t>Pletocarpon nephromeum</w:t>
      </w:r>
      <w:r>
        <w:t xml:space="preserve"> (EN), som växer på stuplav (SLU Artdatabanken, 2024; Nitare &amp; Skogsstyrelsen, 2019).</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r>
        <w:rPr>
          <w:b/>
        </w:rPr>
        <w:t xml:space="preserve">Ulltickeporing </w:t>
      </w:r>
      <w:r>
        <w:rPr>
          <w:b/>
          <w:i/>
        </w:rPr>
        <w:t>Skeletocutis brevispora</w:t>
      </w:r>
      <w:r>
        <w:rPr>
          <w:b/>
        </w:rPr>
        <w:t xml:space="preserve"> (VU)</w:t>
      </w:r>
      <w:r>
        <w:t>,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rPr>
          <w:b/>
        </w:rPr>
        <w:t>Vedskivlav (NT)</w:t>
      </w:r>
      <w:r>
        <w:t xml:space="preserve"> växer på gammal, torr, exponerad, hård kärnved av framförallt tall i naturskogsartade bestånd. Avverkning av tallskog av naturskogskaraktär med spår av återkommande bränder är ett hot. Mängden lämplig ved att växa på för vedskivlav minskar, dels på grund av naturlig nedbrytning men framförallt på grund av att de förstörs i samband med slutavverkningar, gallringar och markberedning. Tall- och blandbarrskogar av naturskogskaraktär med spår av återkommande bränder bör skyddas (SLU Artdatabanken, 2024).</w:t>
      </w:r>
    </w:p>
    <w:p>
      <w:r>
        <w:rPr>
          <w:b/>
        </w:rPr>
        <w:t xml:space="preserve">Vedtrappmossa (NT) </w:t>
      </w:r>
      <w:r>
        <w:t>växer på död ved, främst i gammal granskog. Den förekommer knappast alls i fjällnära barrskogar utan finns i skogslandskapet nedom fjällen och framför allt i landets södra delar är den en mycket bra signalart för barrnaturskog med höga naturvärden. Skogsavverkning och brist på grov död ved i skogen är de allvarligaste hoten och den överlever inte kalhyggesbruk. Lokaler med sluten granskog, tillräckligt stora för att säkerställa ett kontinuerligt tillskott på grova lågor, bör undantas från storskaligt skogsbruk (SLU Artdatabanken, 2024).</w:t>
      </w:r>
    </w:p>
    <w:p>
      <w:r>
        <w:rPr>
          <w:b/>
        </w:rPr>
        <w:t>Vitgrynig nållav (NT)</w:t>
      </w:r>
      <w:r>
        <w:t xml:space="preserve"> växer nästan uteslutande på bark av gamla, senvuxna granar i skuggiga lägen med hög och jämn luftfuktighet. Den vanligaste naturtypen för arten är kontinuitetsskogar på frisk mark men den finns också i sumpgranskogar. På lång sikt utgör avverkningar av olikåldriga granskogar av naturskogskaraktär ett allvarligt hot mot arten och skogsbruksåtgärder på eller i närheten av växtplatserna bör undvikas. Naturskogsartade, fuktiga granskogar med förekomster av arten signalerar höga biologiska värden och bör bevaras (SLU Artdatabanken, 2024; Nitare &amp; Skogsstyrelsen, 2019).</w:t>
      </w:r>
    </w:p>
    <w:p>
      <w:pPr>
        <w:pStyle w:val="Heading1"/>
      </w:pPr>
      <w:r>
        <w:t>Fridlysta arter</w:t>
      </w:r>
    </w:p>
    <w:p>
      <w:r>
        <w:t>Följande fridlysta arter har sina livsmiljöer och växtplatser i den avverkningsanmälda skogen: doftticka (VU, §8), knärot (VU, §8), järpe (NT, §4), spillkråka (NT, §4), talltita (NT, §4), tretåig hackspett (NT, §4), plattlummer (S, §9), spindelblomster (S, §8), tjäder (§4), fläcknycklar (§8) och revlummer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Doftticka (VU, §8)</w:t>
      </w:r>
      <w:r>
        <w:t xml:space="preserve"> är rödlistad som sårbar (VU) och fridlyst enligt 8§ artskyddsförordningen. Den är även globalt rödlistad som Nära hotad (NT) vilket innebär att Sverige har ett internationellt ansvar för arten. Doftticka är beroende av hög och jämn luftfuktighet i gamla, ostörda skogsmiljöer och är känslig för snabba förändringar av ljus-/vindförhållanden eller uttorkning. Dofttickan är placerad i toppen av Skogsstyrelsens värdepyramid för bedömning av skog med höga naturvärden och signalerar alltid gamla sälgar och skogsområden med höga naturvärden. Avverkning av värdträd (främst sälg) utgör det största hotet och när gamla och olikåldriga skogar med sälg avverkas försvinner oftast sälgen. Dofttickan har minskat med ca 30 % under de senaste 30 åren (IUCN Redlist, 2024; Nitare &amp; Skogsstyrelsen, 2019; SLU Artdatabanken, 2024).</w:t>
      </w:r>
    </w:p>
    <w:p>
      <w:r>
        <w:rPr>
          <w:b/>
        </w:rPr>
        <w:t>Järpe (NT, §4)</w:t>
      </w:r>
      <w:r>
        <w:t>, rödlistad som nära hotad och prioriterad art i Skogsvårdslagen har häckningsrevir i avverkningsanmälan. Arten har minskat med 25 (10–40) % under de senaste 12 åren och är mycket stationär inom sitt revir som är minst 25 hektar stort. Dess livsmiljöer utgörs av tät barrskog med inblandning av lövträd och en väl utvecklad flerskiktad struktur med bärris och yngre eller undertryckta, täta granar i ett lägre skikt, ofta utmed bäckar och åar inne i den skyddande granskogen. Järpen överlever inte om dess livsmiljö kalavverkas och är även känslig för röjning, gallring och avverkning där unga granar och lövträd inte sparas i tillräcklig omfattning (SLU Artdatabanken, 2022).</w:t>
      </w:r>
    </w:p>
    <w:p>
      <w:r>
        <w:rPr>
          <w:b/>
        </w:rPr>
        <w:t>Knärot (VU, §8)</w:t>
      </w:r>
      <w:r>
        <w:t xml:space="preserve"> är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1.06 ha med buffertzonerna och får av detta skäl inte avverkas.</w:t>
      </w:r>
    </w:p>
    <w:p>
      <w:pPr>
        <w:pStyle w:val="Caption"/>
      </w:pPr>
      <w:r>
        <w:drawing>
          <wp:inline xmlns:a="http://schemas.openxmlformats.org/drawingml/2006/main" xmlns:pic="http://schemas.openxmlformats.org/drawingml/2006/picture">
            <wp:extent cx="5486400" cy="5508772"/>
            <wp:docPr id="2" name="Picture 2"/>
            <wp:cNvGraphicFramePr>
              <a:graphicFrameLocks noChangeAspect="1"/>
            </wp:cNvGraphicFramePr>
            <a:graphic>
              <a:graphicData uri="http://schemas.openxmlformats.org/drawingml/2006/picture">
                <pic:pic>
                  <pic:nvPicPr>
                    <pic:cNvPr id="0" name="A 37713-2025 karta knärot.png"/>
                    <pic:cNvPicPr/>
                  </pic:nvPicPr>
                  <pic:blipFill>
                    <a:blip r:embed="rId17"/>
                    <a:stretch>
                      <a:fillRect/>
                    </a:stretch>
                  </pic:blipFill>
                  <pic:spPr>
                    <a:xfrm>
                      <a:off x="0" y="0"/>
                      <a:ext cx="5486400" cy="5508772"/>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7090459, E 514388 i SWEREF 99 TM.</w:t>
      </w:r>
    </w:p>
    <w:p>
      <w:pPr>
        <w:pStyle w:val="Caption"/>
      </w:pPr>
    </w:p>
    <w:p>
      <w:r>
        <w:rPr>
          <w:b/>
        </w:rPr>
        <w:t>Spillkråka (NT, §4)</w:t>
      </w:r>
      <w:r>
        <w:t xml:space="preserve"> är rödlistad som nära hotad och ingår i bilaga 1 i EU:s fågeldirektiv. Den minskar i population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(SLU Artdatabanken, 2023).</w:t>
      </w:r>
    </w:p>
    <w:p>
      <w:r>
        <w:rPr>
          <w:b/>
        </w:rPr>
        <w:t>Spindelblomster (§8)</w:t>
      </w:r>
      <w:r>
        <w:t xml:space="preserve"> växer i äldre mossrik granskog eller barrblandskog, men även i fjällbjörkskog. Arten indikerar långvarig trädkontinuitet och hög luftfuktighet och är mycket känslig för uttorkning och markskador. Spindelblomster har i många trakter minskat starkt under senare tid på grund av slutavverkningar och skogsmarksdikning (Nitare &amp; Skogsstyrelsen, 2019).</w:t>
      </w: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Tjäder (§4)</w:t>
      </w:r>
      <w:r>
        <w:t xml:space="preserve">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47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50 naturvårdsarter varav 29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w:t>
        <w:br/>
        <w:t>Fridlysta och rödlistade arter</w:t>
      </w:r>
    </w:p>
    <w:p>
      <w:pPr>
        <w:pStyle w:val="Heading1"/>
      </w:pPr>
      <w:r>
        <w:t>Järpe – ekologi samt krav på livsmiljön</w:t>
      </w:r>
    </w:p>
    <w:p>
      <w:r>
        <w:t>Järpe är rödlistad som nära hotad (NT), fridlyst enligt 4§ Artskyddsförordningen och prioriterad art i Skogsvårdslagen. Järpen, som minskat med 25 (10–40) % under de senaste 12 åren, har sina livsmiljöer i tät barrskog med inblandning av lövträd och en väl utvecklad flerskiktad struktur med bärris och yngre eller undertryckta, täta granar i ett lägre skikt, ofta utmed bäckar och åar inne i den skyddande granskogen.</w:t>
      </w:r>
    </w:p>
    <w:p>
      <w:r>
        <w:t>Arten behöver lämpliga skogsbestånd om sammanlagt minst 25 hektar. Den är mycket stationär inom sitt revir och när ett par etablerat sig stannar de så länge miljön är intakt. Den undviker öppen mark och förﬂyttar sig sällan över större öppna myrar eller åkermark, och är därför känslig för fragmentering. Järpen överlever inte om dess livsmiljö kalavverkas och är även känslig för röjning, gallring och avverkning där unga granar och lövträd inte sparas i tillräcklig omfattning (SLU Artdatabanken, 2022).</w:t>
      </w:r>
    </w:p>
    <w:p>
      <w:pPr>
        <w:pStyle w:val="Heading2"/>
      </w:pPr>
      <w:r>
        <w:t>Referenser – järpe</w:t>
      </w:r>
    </w:p>
    <w:p>
      <w:r>
        <w:t xml:space="preserve">SLU Artdatabanken, 2022. </w:t>
      </w:r>
      <w:r>
        <w:rPr>
          <w:i/>
        </w:rPr>
        <w:t xml:space="preserve">Artfaktablad. Naturvård – artfakta. </w:t>
      </w:r>
      <w:r>
        <w:t>SLU Artdatabanken, Uppsala</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Lunglav – ekologi samt krav på livsmiljön</w:t>
      </w:r>
    </w:p>
    <w:p>
      <w:r>
        <w:t>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(SLU Artdatabanken, 2024; Nitare &amp; Skogsstyrelsen, 2019).</w:t>
      </w:r>
    </w:p>
    <w:p>
      <w:r>
        <w:t xml:space="preserve">På lunglav kan man sällsynt finna små svarta skivlika bildningar som liknar apothecier men som är en parasitisk svamp, Lunglavsknapp </w:t>
      </w:r>
      <w:r>
        <w:rPr>
          <w:i/>
        </w:rPr>
        <w:t>Plectocarpon lichenum</w:t>
      </w:r>
      <w:r>
        <w:t xml:space="preserve"> (VU). Det finns ytterligare ett antal parasiter vilka bara förekommer på lunglav: Skrovelmössing </w:t>
      </w:r>
      <w:r>
        <w:rPr>
          <w:i/>
        </w:rPr>
        <w:t>Dactylospora lobariella</w:t>
      </w:r>
      <w:r>
        <w:t xml:space="preserve"> (rödlistad som Kunskapsbrist DD) och Lunglavshårprick </w:t>
      </w:r>
      <w:r>
        <w:rPr>
          <w:i/>
        </w:rPr>
        <w:t>Niesslia lobariae</w:t>
      </w:r>
      <w:r>
        <w:t xml:space="preserve"> (rödlistad som Kunskapsbrist DD). Skrovelmössing (DD) har små svarta apothecier och bruna, 1-septerade sporer och Lunglavshårprick (DD) har brunhåriga perithecier och färglösa, 1-septerade sporer. Nyligen har ytterligare två lavparasiter påträffats i Sverige som växer på lunglav: </w:t>
      </w:r>
      <w:r>
        <w:rPr>
          <w:i/>
        </w:rPr>
        <w:t>Calycina alstrupii</w:t>
      </w:r>
      <w:r>
        <w:t xml:space="preserve"> (NA) och </w:t>
      </w:r>
      <w:r>
        <w:rPr>
          <w:i/>
        </w:rPr>
        <w:t>Chalara lobariae</w:t>
      </w:r>
      <w:r>
        <w:t xml:space="preserve"> (NA) (SLU Artdatabanken, 2025; SLU Artdatabanken, 2024; Nitare &amp; Skogsstyrelsen, 2019).</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2024. </w:t>
      </w:r>
      <w:r>
        <w:rPr>
          <w:i/>
        </w:rPr>
        <w:t xml:space="preserve">Artfaktablad. Naturvård – artfakta. </w:t>
      </w:r>
      <w:r>
        <w:t>SLU Artdatabanken, Uppsala.</w:t>
      </w:r>
    </w:p>
    <w:p>
      <w:r>
        <w:t xml:space="preserve">SLU Artdatabanken, 2025. </w:t>
      </w:r>
      <w:r>
        <w:rPr>
          <w:i/>
        </w:rPr>
        <w:t xml:space="preserve">Över 20 nya lavparasiter för Sverige. </w:t>
      </w:r>
      <w:r>
        <w:t>https://www.slu.se/artdatabanken/arter-och-natur/artiklar/over-20-nya-lavparasiter-for-sverige/</w:t>
      </w:r>
    </w:p>
    <w:p>
      <w:pPr>
        <w:pStyle w:val="Heading1"/>
      </w:pPr>
      <w:r>
        <w:t>Spillkråka – ekologi samt krav på livsmiljön</w:t>
      </w:r>
    </w:p>
    <w:p>
      <w:r>
        <w:t>Spillkråka (NT) är rödlistad som nära hotad, fridlyst enligt §4 Artskyddsförordningen och ingår i bilaga 1 i EU:s fågeldirektiv. Spillkråka lever i både barr- och blandskog liksom i ren lövskog. De tätaste populationerna tenderar att finnas i äldre, variationsrik blandskog med gott om död ved och gamla träd.</w:t>
      </w:r>
    </w:p>
    <w:p>
      <w:r>
        <w:t>Varje par utnyttjar 400–1000 hektar skog beroende på skogens kvalitet. En minskning av populationen pågår på grund av minskad tillgång på lämpliga bo- och födoträd och minskad födotillgång. Spillkråkans minskningstakt har uppgått till 19 (24–10) % under de senaste 15 åren. Minskningstakten för den svenska populationen bedöms vara nära gränsvärdet för Sårbar (VU) (A2bc). Skogsbruk med korta omloppstider och täta, homogena ungskogar utgör det största hotet (Artdatabanken 2023).</w:t>
      </w:r>
    </w:p>
    <w:p>
      <w:pPr>
        <w:pStyle w:val="Heading2"/>
      </w:pPr>
      <w:r>
        <w:t>Referenser – spillkråka</w:t>
      </w:r>
    </w:p>
    <w:p>
      <w:r>
        <w:t xml:space="preserve">SLU Artdatabanken, 2021. </w:t>
      </w:r>
      <w:r>
        <w:rPr>
          <w:i/>
        </w:rPr>
        <w:t xml:space="preserve">Artfaktablad. Naturvård – artfakta. </w:t>
      </w:r>
      <w:r>
        <w:t>SLU Artdatabanken, Uppsala</w:t>
      </w:r>
    </w:p>
    <w:p>
      <w:pPr>
        <w:pStyle w:val="Heading1"/>
      </w:pPr>
      <w:r>
        <w:t>Talltita – ekologi samt krav på livsmiljön</w:t>
      </w:r>
    </w:p>
    <w:p>
      <w:r>
        <w:t>Talltita är rödlistad som NT, fridlyst och prioriterad art i Skogsvårdslagen. Den omfattas av EU:s fågeldirektiv. Arten har minskat kraftigt de senaste 30 åren och minskningstakten innevarande 10-årsperiod beräknas till 20 (10–30) % (SLU Artdatabanken, 2022).</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For. Ecol. Manage. 319, 169–175.</w:t>
      </w:r>
    </w:p>
    <w:p>
      <w:r>
        <w:t xml:space="preserve">Ekman, J., 1979. </w:t>
      </w:r>
      <w:r>
        <w:rPr>
          <w:i/>
        </w:rPr>
        <w:t xml:space="preserve">Coherence, composition and territories of winter social groups of the Willow Tit Parus montanus and the Crested Tit P. cristatus. </w:t>
      </w:r>
      <w:r>
        <w:t>Ornis Scandinavica, 10, pp 56–68</w:t>
      </w:r>
    </w:p>
    <w:p>
      <w:r>
        <w:t xml:space="preserve">Griesser, M., Nystrand, M., Eggers, S., Ekman, J., 2007. </w:t>
      </w:r>
      <w:r>
        <w:rPr>
          <w:i/>
        </w:rPr>
        <w:t xml:space="preserve">Impact of forestry practices on fitness correlates and population productivity in an open-nesting bird species. </w:t>
      </w:r>
      <w:r>
        <w:t>Conserv. Biol. 21, 767–774. https://doi.org/10.1111/j.1523- 1739.2007.00675.x</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SLU Artdatabanken, Uppsala</w:t>
      </w:r>
    </w:p>
    <w:p>
      <w:pPr>
        <w:pStyle w:val="Heading1"/>
      </w:pPr>
      <w:r>
        <w:t>Tjäder – ekologi samt krav på livsmiljön</w:t>
      </w:r>
    </w:p>
    <w:p>
      <w:r>
        <w:t>Tjäder (§4)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 xml:space="preserve">Vägledning för hänsyn till fåglar – tjäder. </w:t>
      </w:r>
      <w:r>
        <w:t>https://www.skogsstyrelsen.se/globalassets/lag-och-tillsyn/artskydd/vagledningar-for-hansyn-till-faglar/tjader-vagledning-hansyn2.pdf</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p>
      <w:pPr>
        <w:pStyle w:val="Heading1"/>
      </w:pPr>
      <w:r>
        <w:t>Ulltickeporing – ekologi samt krav på livsmiljön</w:t>
      </w:r>
    </w:p>
    <w:p>
      <w:r>
        <w:t xml:space="preserve">Ulltickeporing </w:t>
      </w:r>
      <w:r>
        <w:rPr>
          <w:i/>
        </w:rPr>
        <w:t>Skeletocutis brevispora</w:t>
      </w:r>
      <w:r>
        <w:t xml:space="preserve"> (VU), rödlistad som sårbar, växer på ullticka (NT) i naturskogsartade granskogar. Avverkning av naturskogslika miljöer och av grova granar där ulltickeporing förekommer är ett direkt hot mot artens fortlevnad Alla skogliga åtgärder som innebär att lågor och döda eller skadade träd tas bort missgynnar arten. På sikt är minskad tillgång till lämpligt substrat och krympande areal av naturskog ett hot, framförallt råder brist på grov ved som lågor i sena nedbrytningsstadier. Ytterligare fragmentering av skogslandskapet minskar artens möjligheter till spridning. Gamla granskogar som hyser arten undantas helt från skogsbruk (SLU Artdatabanken, 2024).</w:t>
      </w:r>
    </w:p>
    <w:p>
      <w:r>
        <w:t xml:space="preserve">Ulltickeporingen har nyligen delats upp i tre olika arter: </w:t>
      </w:r>
      <w:r>
        <w:rPr>
          <w:i/>
        </w:rPr>
        <w:t xml:space="preserve">Skeletocutis brevispora </w:t>
      </w:r>
      <w:r>
        <w:t>(ulltickeporing)</w:t>
      </w:r>
      <w:r>
        <w:rPr>
          <w:i/>
        </w:rPr>
        <w:t>, Skeletocutis delicata och Skeletocutis exilis</w:t>
      </w:r>
      <w:r>
        <w:t xml:space="preserve"> (Miettinen &amp; Niemelä, 2018). Skeletocutis delicata och Skeletocutis exilis står för närvarande (2020) som ej bedömda i rödlistan.</w:t>
      </w:r>
    </w:p>
    <w:p>
      <w:pPr>
        <w:pStyle w:val="Heading2"/>
      </w:pPr>
      <w:r>
        <w:t>Referenser – ulltickeporing</w:t>
      </w:r>
    </w:p>
    <w:p>
      <w:r>
        <w:t xml:space="preserve">Miettinen, O. &amp; Niemelä, T., 2018. </w:t>
      </w:r>
      <w:r>
        <w:rPr>
          <w:i/>
        </w:rPr>
        <w:t>Two new temperate polypore species of Skeletocutis (Polyporales, Basidiomycota)</w:t>
      </w:r>
      <w:r>
        <w:t>. Ann. Bot. Fennici 55: 195–206.</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2025-11-28</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