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2022-04-07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 granbastborre</w:t>
      </w:r>
      <w:r>
        <w:t xml:space="preserve"> är en skalbagge vars larvutveckling sker i bark på nyligen döda granar som ligger i skuggiga lägen, främst grova vindfällen inne i gamla granbestånd, ofta på stammarnas undersida. Arten är starkt knuten till nordliga naturskogar av gran och är väl anpassad till skuggiga, svala förhållanden. Den påverkas negativt av brist på kontinuitetsskog och det föreligger indikation på eller misstanke om populationsminskning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Kransrams</w:t>
      </w:r>
      <w:r>
        <w:t xml:space="preserve"> är typisk art för </w:t>
      </w:r>
      <w:r>
        <w:rPr>
          <w:i/>
        </w:rPr>
        <w:t xml:space="preserve">9020 Nordlig ädellövskog </w:t>
      </w:r>
      <w:r>
        <w:t>(SLU Artdatabanken, 2025).</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