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15237-2022 i Strömsunds kommun</w:t>
      </w:r>
    </w:p>
    <w:p>
      <w:r>
        <w:t>Detta klagomål behandlar höga naturvärden i avverkningsanmälan A 15237-2022 i Strömsunds kommun som inkom 2022-04-07 och omfattar 16,6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15237-2022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7116242, E 519604 i SWEREF 99 TM.</w:t>
      </w:r>
    </w:p>
    <w:p>
      <w:r>
        <w:t>I och inom 22 meter från avverkningsanmälan finns fynd av 38 naturvårdsarter, varav 21 är rödlistade, 5 är fridlysta, 23 är typiska (T) och 16 är signalarter (S): blackticka (VU), garnlav (VU, T), gränsticka (VU, T), kilporing (VU), lappticka (VU, T), mjölig dropplav (VU), norsk näverlav (VU), rödskaftad svartspik (VU), skuggnål (VU), harticka (NT, T), kavernularia (NT), luddfingersvamp (NT), lunglav (NT, T), rosenticka (NT, T), rynkskinn (NT, T), rödvingetrast (NT, §4), skrovellav (NT, T), talltita (NT, §4), ullticka (NT, T), vitgrynig nållav (NT), vitterspindling (NT), barkkornlav (S, T), brun granbastborre (S), granriska (S), grönkulla (S, T, §8), gytterlav (S, T), kransrams (S, T), luddlav (S, T), rostfläck (S, T), skogshakmossa (S, T), spindelblomster (S, T, §8), stuplav (S, T), svart trolldruva (S, T), trådticka (S, T), vedticka (S, T), vågbandad barkbock (S),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Brun granbastborre</w:t>
      </w:r>
      <w:r>
        <w:t xml:space="preserve"> är en skalbagge vars larvutveckling sker i bark på nyligen döda granar som ligger i skuggiga lägen, främst grova vindfällen inne i gamla granbestånd, ofta på stammarnas undersida. Arten är starkt knuten till nordliga naturskogar av gran och är väl anpassad till skuggiga, svala förhållanden. Den påverkas negativt av brist på kontinuitetsskog och det föreligger indikation på eller misstanke om populationsminskning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