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69914-2021 i Strömsunds kommun</w:t>
      </w:r>
    </w:p>
    <w:p>
      <w:r>
        <w:t>Denna tillsynsbegäran behandlar höga naturvärden i avverkningsanmälan A 69914-2021 i Strömsunds kommun som inkom 2021-12-02 och omfattar 4,9 ha.</w:t>
      </w:r>
    </w:p>
    <w:p>
      <w:pPr>
        <w:pStyle w:val="Caption"/>
      </w:pPr>
      <w:r>
        <w:drawing>
          <wp:inline xmlns:a="http://schemas.openxmlformats.org/drawingml/2006/main" xmlns:pic="http://schemas.openxmlformats.org/drawingml/2006/picture">
            <wp:extent cx="5486400" cy="5199825"/>
            <wp:docPr id="1" name="Picture 1"/>
            <wp:cNvGraphicFramePr>
              <a:graphicFrameLocks noChangeAspect="1"/>
            </wp:cNvGraphicFramePr>
            <a:graphic>
              <a:graphicData uri="http://schemas.openxmlformats.org/drawingml/2006/picture">
                <pic:pic>
                  <pic:nvPicPr>
                    <pic:cNvPr id="0" name="A 69914-2021 karta.png"/>
                    <pic:cNvPicPr/>
                  </pic:nvPicPr>
                  <pic:blipFill>
                    <a:blip r:embed="rId16"/>
                    <a:stretch>
                      <a:fillRect/>
                    </a:stretch>
                  </pic:blipFill>
                  <pic:spPr>
                    <a:xfrm>
                      <a:off x="0" y="0"/>
                      <a:ext cx="5486400" cy="5199825"/>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7033218, E 525399 i SWEREF 99 TM.</w:t>
      </w:r>
    </w:p>
    <w:p>
      <w:r>
        <w:t>I och inom 5 meter från avverkningsanmälan finns fynd av 10 naturvårdsarter, varav 6 är rödlistade, 1 är fridlyst, 3 är typiska (T) och 4 är signalarter (S): knärot (VU, T, §8), violettrandad spindling (VU), barrfagerspindling (NT), blå taggsvamp (NT, T), puderspindling (NT), rosenticka (NT, T), anisspindling (S), diskvaxskivling (S), strimspindling (S) och zontaggsvamp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5071621"/>
            <wp:docPr id="2" name="Picture 2"/>
            <wp:cNvGraphicFramePr>
              <a:graphicFrameLocks noChangeAspect="1"/>
            </wp:cNvGraphicFramePr>
            <a:graphic>
              <a:graphicData uri="http://schemas.openxmlformats.org/drawingml/2006/picture">
                <pic:pic>
                  <pic:nvPicPr>
                    <pic:cNvPr id="0" name="A 69914-2021 karta knärot.png"/>
                    <pic:cNvPicPr/>
                  </pic:nvPicPr>
                  <pic:blipFill>
                    <a:blip r:embed="rId17"/>
                    <a:stretch>
                      <a:fillRect/>
                    </a:stretch>
                  </pic:blipFill>
                  <pic:spPr>
                    <a:xfrm>
                      <a:off x="0" y="0"/>
                      <a:ext cx="5486400" cy="507162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7033218, E 525399 i SWEREF 99 TM.</w:t>
      </w:r>
    </w:p>
    <w:p>
      <w:r>
        <w:rPr>
          <w:b/>
        </w:rPr>
        <w:t>Violettrandad spindling (VU)</w:t>
      </w:r>
      <w:r>
        <w:t xml:space="preserve"> är en sällsynt barrskogsart som bildar mykorrhiza med tall, i kalktallskog och lavtallskog på kalkrik mark. Intensivt skogsbruk med kalavverkning, markberedning etc. minskar artens möjligheter att överleva och dess minskningstakt uppgår till 30 % inom 50 år och överstiger gränsvärdet för Sårbar (VU). Violettrandad spindling är placerad högst upp i Skogsstyrelsens värdepyramid för bedömning av skog med höga naturvärden och på artens kända växtplatser bör avverkning undvikas (SLU Artdatabanken, 2024; Nitare &amp; Skogsstyrelsen, 2019).</w:t>
      </w:r>
    </w:p>
    <w:p>
      <w:r>
        <w:rPr>
          <w:b/>
        </w:rPr>
        <w:t>Barrfagerspindling (NT)</w:t>
      </w:r>
      <w:r>
        <w:t xml:space="preserve"> bildar mykorrhiza med gran, möjligen också med tall, i äldre kalkbarrskog. Den totala populationen i landet har minskat och bedöms fortsätta minska till följd av avverkning av äldre kalkbarrskog. Arten har begränsad förmåga att återetablera sig efter slutavverkning eller andra storskaliga skogsbruksåtgärder, och det finns inga indikationer på att den långsiktigt kan etablera eller reproducera sig i bestånd som brukas med trakthyggesmetoder, markberedning, gödsling eller förädlat plantmaterial. Minskningstakten för den svenska populationen bedöms vara nära gränsvärdet för Sårbar (VU) (SLU Artdatabanken, 2026).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Puderspindling (NT) </w:t>
      </w:r>
      <w:r>
        <w:t>bildar mykorrhiza med gran och växer i äldre ängsgranskog på kalkrik mark. Påträffas ofta i myrstackar. Storskaligt skogsbruk med kalavverkning och markberedning eller kraftig gallring är det främsta hotet mot arten. På sikt är det ett problem att skogar av denna typ, med stort inslag av äldre träd inte nybildas. Ett fullständigt skydd för artens lokaler bör övervägas. Där avverkning ändå tillåts måste den ske försiktigt så att kontinuiteten i trädskiktet inte bryts. Ett tillräckligt antal äldre träd måste finnas kvar i beståndet. Det är önskvärt med stor naturvårdshänsyn i alla områden med äldre granskog på näringsrik mark oavsett om dess flora är känd eller ej (SLU Artdatabanken, 2025).</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