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47027-2020 i Strömsunds kommun</w:t>
      </w:r>
    </w:p>
    <w:p>
      <w:r>
        <w:t>Detta dokument behandlar höga naturvärden i avverkningsanmälan A 47027-2020 i Strömsunds kommun. Denna avverkningsanmälan inkom 2020-09-22 och omfattar 10,1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18 naturvårdsarter hittats: djupsvart brunbagge (EN), aspbarkgnagare (NT), dvärgbägarlav (NT), garnlav (NT), kolflarnlav (NT), lunglav (NT), mörk kolflarnlav (NT), nordtagging (NT), skrovellav (NT), svartvit taggsvamp (NT), talltita (NT, §4), vaddporing (NT), vedflamlav (NT), bårdlav (S), dropptaggsvamp (S), luddlav (S), stuplav (S) och vedticka (S). Av dessa är 13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582887"/>
            <wp:docPr id="1" name="Picture 1"/>
            <wp:cNvGraphicFramePr>
              <a:graphicFrameLocks noChangeAspect="1"/>
            </wp:cNvGraphicFramePr>
            <a:graphic>
              <a:graphicData uri="http://schemas.openxmlformats.org/drawingml/2006/picture">
                <pic:pic>
                  <pic:nvPicPr>
                    <pic:cNvPr id="0" name="A 47027-2020 karta.png"/>
                    <pic:cNvPicPr/>
                  </pic:nvPicPr>
                  <pic:blipFill>
                    <a:blip r:embed="rId16"/>
                    <a:stretch>
                      <a:fillRect/>
                    </a:stretch>
                  </pic:blipFill>
                  <pic:spPr>
                    <a:xfrm>
                      <a:off x="0" y="0"/>
                      <a:ext cx="5486400" cy="75828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7134863, E 503276 i SWEREF 99 TM.</w:t>
      </w:r>
    </w:p>
    <w:p>
      <w:r>
        <w:rPr>
          <w:b/>
        </w:rPr>
        <w:t>Aspbarkgnagare (NT)</w:t>
      </w:r>
      <w:r>
        <w:t xml:space="preserve"> är en globalt rödlistad art som omfattas av EU:s art- och habitatdirektiv och ingår i ett åtgärdsprogram (ÅGP) för hotade arter på asp i Norrland. Artens larvutveckling sker i solbelyst, skadad eller död bark av asp. Larver kan påträffas både på levande och på helt döda stammar. Ibland angrips även nedfallna döda, grova grenar. Larverna lever strax under den hårda ytterbarken och gnager otydliga gångar i den ganska luckra innerbarken. De påträffas ofta runt gamla stamskador där barken fått en mycket ojämn struktur – ofta påträffas även arter av barkborresläktet </w:t>
      </w:r>
      <w:r>
        <w:rPr>
          <w:i/>
        </w:rPr>
        <w:t xml:space="preserve">Trypophloeus </w:t>
      </w:r>
      <w:r>
        <w:t>på samma ställe (SLU Artdatabanken, 2024).</w:t>
      </w:r>
    </w:p>
    <w:p>
      <w:r>
        <w:t>Aspbarkgnagaren är listad i EU:s art- och habitatdirektiv (Rådets direktiv 92/43/EEG) och är därmed en s.k. Natura 2000-art. Det betyder att artens gynnsamma bevarandestatus ska bibehållas eller återställas. Tillräckligt många Natura 2000-områden skall pekas ut för arten, spridda över det ursprungliga utbredningsområdet, så att arten kan nå en utbredning och population som medger att den kan överleva långsiktigt. Arten hotas av att mängden äldre asprik skog minskat i skogslandskapet under det senaste seklet samt att aspskogar inte förnyas i tillräcklig grad (Naturvårdsverket, 2010). Röjning, gallring och avverkning av asp i de landskapsområden där arten fortfarande förekommer är ett direkt hot mot artens långsiktiga överlevnad.</w:t>
      </w:r>
    </w:p>
    <w:p>
      <w:r>
        <w:rPr>
          <w:b/>
        </w:rPr>
        <w:t>Djupsvart brunbagge (EN)</w:t>
      </w:r>
      <w:r>
        <w:t xml:space="preserve"> är rödlistad som starkt hotad och omfattas av åtgärdsprogram för björklevande vedskalbaggar i Norrland. Arten utvecklas i svampangripen vitrötad lövträdsved och i norra Sverige är fynd framförallt gjorda i döda björkar, särskilt högstubbar av grova vårtbjörkar med fnösktickor (SLU Artdatabanken, 2021; Naturvårdsverket, 2008). Av den uppdaterade åtgärdstabellen för djupsvart brunbagge (2020–2027) framgår det att formellt skydd av större områden är nödvändigt för att klara arten på sikt, i kombination med den naturvårdsskötsel, ekoparker och frivilliga avsättningar som skogsägare arbetar med. Vidare att gynnsam bevarandestatus för djupsvart brunbagge uppnås när det finns starka förekomster i minst 20 trakter i landet. Med stark förekomst menas att inom en trakt på 500–5000 ha utgörs minst 25 % av lämpligt habitat innehållande minst 10 lämpliga träd per ha och att 25 % av dessa är bebodda av arten. Trakter ska ha en sådan trädslags- och ålders-sammansättning att områden rika på grova lövträd även finns på 50 års sikt. Trakter med starka förekomster ska vara spridda över respektive arts sentida (1900-tal) utbredningsområde i landet (Naturvårdsverket och Länsstyrelsen Gävleborg, 2022).</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(SLU Artdatabanken, 2024).</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18 naturvårdsarter varav 13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Aspbarkgnagare – ekologi samt krav på livsmiljön</w:t>
      </w:r>
    </w:p>
    <w:p>
      <w:r>
        <w:t xml:space="preserve">Aspbarkgnagare (NT) är en globalt rödlistad art som omfattas av EU:s art- och habitatdirektiv och ingår i ett åtgärdsprogram (ÅGP) för hotade arter på asp i Norrland. Artens larvutveckling sker i solbelyst, skadad eller död bark av asp. Larver kan påträffas både på levande och på helt döda stammar. Ibland angrips även nedfallna döda, grova grenar. Larverna lever strax under den hårda ytterbarken och gnager otydliga gångar i den ganska luckra innerbarken. De påträffas ofta runt gamla stamskador där barken fått en mycket ojämn struktur – ofta påträffas även arter av barkborresläktet </w:t>
      </w:r>
      <w:r>
        <w:rPr>
          <w:i/>
        </w:rPr>
        <w:t xml:space="preserve">Trypophloeus </w:t>
      </w:r>
      <w:r>
        <w:t>på samma ställe (SLU Artdatabanken, 2024).</w:t>
      </w:r>
    </w:p>
    <w:p>
      <w:r>
        <w:t>Aspbarkgnagaren är listad i EU:s art- och habitatdirektiv (Rådets direktiv 92/43/EEG) och är därmed en s.k. Natura 2000-art. Det betyder att artens gynnsamma bevarandestatus ska bibehållas eller återställas. Tillräckligt många Natura 2000-områden skall pekas ut för arten, spridda över det ursprungliga utbredningsområdet, så att arten kan nå en utbredning och population som medger att den kan överleva långsiktigt. Arten hotas av att mängden äldre asprik skog minskat i skogslandskapet under det senaste seklet samt att aspskogar inte förnyas i tillräcklig grad (Naturvårdsverket, 2010). Röjning, gallring och avverkning av asp i de landskapsområden där arten fortfarande förekommer är ett direkt hot mot artens långsiktiga överlevnad.</w:t>
      </w:r>
    </w:p>
    <w:p>
      <w:pPr>
        <w:pStyle w:val="Heading2"/>
      </w:pPr>
      <w:r>
        <w:t>Referenser – aspbarkgnagare</w:t>
      </w:r>
    </w:p>
    <w:p>
      <w:r>
        <w:t xml:space="preserve">Naturvårdverket, 2010. </w:t>
      </w:r>
      <w:r>
        <w:rPr>
          <w:i/>
        </w:rPr>
        <w:t>Åtgärdsprogram för hotade arter på asp i Norrland 2010–2014</w:t>
      </w:r>
      <w:r>
        <w:t>. Rapport 6393. Juni 2010</w:t>
      </w:r>
    </w:p>
    <w:p>
      <w:r>
        <w:t xml:space="preserve">SLU Artdatabanken, 2024. </w:t>
      </w:r>
      <w:r>
        <w:rPr>
          <w:i/>
        </w:rPr>
        <w:t xml:space="preserve">Artfaktablad. Naturvård – artfakta. </w:t>
      </w:r>
      <w:r>
        <w:t>SLU Artdatabanken, Uppsala</w:t>
      </w:r>
    </w:p>
    <w:p>
      <w:pPr>
        <w:pStyle w:val="Heading1"/>
      </w:pPr>
      <w:r>
        <w:t>Djupsvart brunbagge – ekologi samt krav på livsmiljön</w:t>
      </w:r>
    </w:p>
    <w:p>
      <w:r>
        <w:t>Djupsvart brunbagge är rödlistad som starkt hotad (EN) och omfattas av åtgärdsprogram för björklevande vedskalbaggar i Norrland. Djupsvart brunbagge utvecklas i svampangripen vitrötad lövträdsved. I norra Sverige är fynd framförallt gjorda i döda björkar, särskilt högstubbar av grova vårtbjörkar med fnösktickor (SLU Artdatabanken, 2021; Naturvårdsverket, 2008).</w:t>
      </w:r>
    </w:p>
    <w:p>
      <w:r>
        <w:t>Av den uppdaterade åtgärdstabellen för djupsvart brunbagge (2020–2027) framgår det att formellt skydd av större områden är nödvändigt för att klara arten på sikt, i kombination med den naturvårdsskötsel, ekoparker och frivilliga avsättningar som skogsägare arbetar med (Naturvårdsverket och Länsstyrelsen Gävleborg, 2022).</w:t>
      </w:r>
    </w:p>
    <w:p>
      <w:r>
        <w:t>Vidare att gynnsam bevarandestatus för djupsvart brunbagge uppnås när det finns starka förekomster i minst 20 trakter i landet. Med stark förekomst menas att inom en trakt på 500–5000 ha utgörs minst 25 % av lämpligt habitat innehållande minst 10 lämpliga träd per ha och att 25 % av dessa är bebodda av arten. Trakter ska ha en sådan trädslags- och ålders-sammansättning att områden rika på grova lövträd även finns på 50 års sikt. Trakter med starka förekomster ska vara spridda över respektive arts sentida (1900-tal) utbredningsområde i landet (Naturvårdsverket och Länsstyrelsen Gävleborg, 2022).</w:t>
      </w:r>
    </w:p>
    <w:p>
      <w:pPr>
        <w:pStyle w:val="Heading2"/>
      </w:pPr>
      <w:r>
        <w:t>Referenser – djupsvart brunbagge</w:t>
      </w:r>
    </w:p>
    <w:p>
      <w:r>
        <w:t xml:space="preserve">Naturvårdsverket &amp; Länsstyrelsen Gävleborg, 2022. </w:t>
      </w:r>
      <w:r>
        <w:rPr>
          <w:i/>
        </w:rPr>
        <w:t xml:space="preserve">Uppdaterad åtgärdstabell för björklevande vedskalbaggar, 2020–2027. </w:t>
      </w:r>
      <w:r>
        <w:t>Naturvårdsverket Stockholm.</w:t>
      </w:r>
    </w:p>
    <w:p>
      <w:r>
        <w:t xml:space="preserve">Naturvårdsverket, 2008. </w:t>
      </w:r>
      <w:r>
        <w:rPr>
          <w:i/>
        </w:rPr>
        <w:t xml:space="preserve">Åtgärdsprogram för björklevande vedskalbaggar i Norrland 2008–2012. </w:t>
      </w:r>
      <w:r>
        <w:t>Rapport 5843 – November 2008</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2025-05-08</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