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18948-2023 i Strömsunds kommun</w:t>
      </w:r>
    </w:p>
    <w:p>
      <w:r>
        <w:t>Detta klagomål behandlar höga naturvärden i avverkningsanmälan A 18948-2023 i Strömsunds kommun som inkom 2023-04-27 och omfattar 24,9 ha.</w:t>
      </w:r>
    </w:p>
    <w:p>
      <w:pPr>
        <w:pStyle w:val="Caption"/>
      </w:pPr>
      <w:r>
        <w:drawing>
          <wp:inline xmlns:a="http://schemas.openxmlformats.org/drawingml/2006/main" xmlns:pic="http://schemas.openxmlformats.org/drawingml/2006/picture">
            <wp:extent cx="5486400" cy="3059941"/>
            <wp:docPr id="1" name="Picture 1"/>
            <wp:cNvGraphicFramePr>
              <a:graphicFrameLocks noChangeAspect="1"/>
            </wp:cNvGraphicFramePr>
            <a:graphic>
              <a:graphicData uri="http://schemas.openxmlformats.org/drawingml/2006/picture">
                <pic:pic>
                  <pic:nvPicPr>
                    <pic:cNvPr id="0" name="A 18948-2023 karta.png"/>
                    <pic:cNvPicPr/>
                  </pic:nvPicPr>
                  <pic:blipFill>
                    <a:blip r:embed="rId16"/>
                    <a:stretch>
                      <a:fillRect/>
                    </a:stretch>
                  </pic:blipFill>
                  <pic:spPr>
                    <a:xfrm>
                      <a:off x="0" y="0"/>
                      <a:ext cx="5486400" cy="305994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7077443, E 521998 i SWEREF 99 TM.</w:t>
      </w:r>
    </w:p>
    <w:p>
      <w:r>
        <w:t>I och inom 4 meter från avverkningsanmälan finns fynd av 8 naturvårdsarter, varav 7 är rödlistade, 2 är fridlysta och 3 är typiska (T): gräddticka (VU), fjällig taggsvamp s.str. (NT), grantaggsvamp (NT), harticka (NT, T), skarp dropptaggsvamp (NT), svartvit taggsvamp (NT), tretåig hackspett (NT,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