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34775-2023 i Strömsunds kommun</w:t>
      </w:r>
    </w:p>
    <w:p>
      <w:r>
        <w:t>Detta klagomål behandlar höga naturvärden i avverkningsanmälan A 34775-2023 i Strömsunds kommun som inkom 2023-08-02 och omfattar 9,2 ha.</w:t>
      </w:r>
    </w:p>
    <w:p>
      <w:pPr>
        <w:pStyle w:val="Caption"/>
      </w:pPr>
      <w:r>
        <w:drawing>
          <wp:inline xmlns:a="http://schemas.openxmlformats.org/drawingml/2006/main" xmlns:pic="http://schemas.openxmlformats.org/drawingml/2006/picture">
            <wp:extent cx="5032278" cy="5724000"/>
            <wp:docPr id="1" name="Picture 1"/>
            <wp:cNvGraphicFramePr>
              <a:graphicFrameLocks noChangeAspect="1"/>
            </wp:cNvGraphicFramePr>
            <a:graphic>
              <a:graphicData uri="http://schemas.openxmlformats.org/drawingml/2006/picture">
                <pic:pic>
                  <pic:nvPicPr>
                    <pic:cNvPr id="0" name="A 34775-2023 karta.png"/>
                    <pic:cNvPicPr/>
                  </pic:nvPicPr>
                  <pic:blipFill>
                    <a:blip r:embed="rId16"/>
                    <a:stretch>
                      <a:fillRect/>
                    </a:stretch>
                  </pic:blipFill>
                  <pic:spPr>
                    <a:xfrm>
                      <a:off x="0" y="0"/>
                      <a:ext cx="503227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7140880, E 471057 i SWEREF 99 TM.</w:t>
      </w:r>
    </w:p>
    <w:p>
      <w:r>
        <w:t>I och inom 25 meter från avverkningsanmälan finns fynd av 26 naturvårdsarter, varav 16 är rödlistade, 9 är fridlysta, 14 är typiska (T) och 7 är signalarter (S): blackticka (VU), gränsticka (VU, T), kilporing (VU), knärot (VU, T, §8), kopparspindling (VU), gröntagging (NT), lavskrika (NT, T, §4), lunglav (NT, T), persiljespindling (NT), Phellodon dititomentosus (NT), puderspindling (NT), skogsfru (NT, §8), sotvaxskivling (NT), tretåig hackspett (NT, T, §4), ullticka (NT, T), äggvaxskivling (NT), bårdlav (S, T), korallrot (S, T, §8), kransrams (S, T), spindelblomster (S, T, §8), stor aspticka (S, T), strimspindling (S), vedticka (S, T), järpe (T, §4),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5.36 ha med buffertzonerna och får av detta skäl inte avverkas.</w:t>
      </w:r>
    </w:p>
    <w:p>
      <w:pPr>
        <w:pStyle w:val="Caption"/>
      </w:pPr>
      <w:r>
        <w:drawing>
          <wp:inline xmlns:a="http://schemas.openxmlformats.org/drawingml/2006/main" xmlns:pic="http://schemas.openxmlformats.org/drawingml/2006/picture">
            <wp:extent cx="5486400" cy="5744694"/>
            <wp:docPr id="2" name="Picture 2"/>
            <wp:cNvGraphicFramePr>
              <a:graphicFrameLocks noChangeAspect="1"/>
            </wp:cNvGraphicFramePr>
            <a:graphic>
              <a:graphicData uri="http://schemas.openxmlformats.org/drawingml/2006/picture">
                <pic:pic>
                  <pic:nvPicPr>
                    <pic:cNvPr id="0" name="A 34775-2023 karta knärot.png"/>
                    <pic:cNvPicPr/>
                  </pic:nvPicPr>
                  <pic:blipFill>
                    <a:blip r:embed="rId17"/>
                    <a:stretch>
                      <a:fillRect/>
                    </a:stretch>
                  </pic:blipFill>
                  <pic:spPr>
                    <a:xfrm>
                      <a:off x="0" y="0"/>
                      <a:ext cx="5486400" cy="57446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7140880, E 471057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Gröntagging (NT) </w:t>
      </w:r>
      <w:r>
        <w:t>förekommer i äldre grandominerad blandskog men ekologin är fortfarande något oklar. Dock verkar arten fodra växtplatser med hög luftfuktighet och mycket död ved och kontinuitet i träd- och buskskikt, miljöer som minskar i landskapet. Arten är sällsynt och kan missgynnas av att ett alltför ensidigt skogsbruk gynnar barrträd och att därför näringsrika blandskogar försvinner. Några av artens växtplatser bör skyddas och inventeras för att klarlägga artens ekologi och de lokala populationernas storlek och dynamik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i/>
        </w:rPr>
        <w:t xml:space="preserve">Phellodon dititomentosus </w:t>
      </w:r>
      <w:r>
        <w:rPr>
          <w:b/>
        </w:rPr>
        <w:t xml:space="preserve">(NT) </w:t>
      </w:r>
      <w:r>
        <w:t>är en lädertaggsvamp som bildar mykorrhiza med gran i äldre barrskog på kalkrik mark. Den totala populationen i landet bedöms ha minskat och förväntas fortsätta minska på grund av slutavverkning av äldre kalkbarrskog och kontinuitetsskog. Arten har sannolikt svårt att återetablera sig efter kalavverkning, och det saknas tecken på att den långsiktigt kan etablera och reproducera sig i skogar där kontinuerlig markberedning, gödsling eller trakthyggesbruk förekommer (SLU Artdatabanken, 2026).</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