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kvalitet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i avverkningsanmälan A 61437-2021 i Strömsunds kommun</w:t>
      </w:r>
    </w:p>
    <w:p>
      <w:r>
        <w:t>Detta klagomål behandlar höga naturvärden i avverkningsanmälan A 61437-2021 i Strömsunds kommun som inkom 2021-10-31 och omfattar 3,6 ha.</w:t>
      </w:r>
    </w:p>
    <w:p>
      <w:pPr>
        <w:pStyle w:val="Caption"/>
      </w:pPr>
      <w:r>
        <w:drawing>
          <wp:inline xmlns:a="http://schemas.openxmlformats.org/drawingml/2006/main" xmlns:pic="http://schemas.openxmlformats.org/drawingml/2006/picture">
            <wp:extent cx="5486400" cy="5484515"/>
            <wp:docPr id="1" name="Picture 1"/>
            <wp:cNvGraphicFramePr>
              <a:graphicFrameLocks noChangeAspect="1"/>
            </wp:cNvGraphicFramePr>
            <a:graphic>
              <a:graphicData uri="http://schemas.openxmlformats.org/drawingml/2006/picture">
                <pic:pic>
                  <pic:nvPicPr>
                    <pic:cNvPr id="0" name="A 61437-2021 karta.png"/>
                    <pic:cNvPicPr/>
                  </pic:nvPicPr>
                  <pic:blipFill>
                    <a:blip r:embed="rId16"/>
                    <a:stretch>
                      <a:fillRect/>
                    </a:stretch>
                  </pic:blipFill>
                  <pic:spPr>
                    <a:xfrm>
                      <a:off x="0" y="0"/>
                      <a:ext cx="5486400" cy="5484515"/>
                    </a:xfrm>
                    <a:prstGeom prst="rect"/>
                  </pic:spPr>
                </pic:pic>
              </a:graphicData>
            </a:graphic>
          </wp:inline>
        </w:drawing>
      </w:r>
    </w:p>
    <w:p>
      <w:pPr>
        <w:pStyle w:val="Caption"/>
        <w:spacing w:after="240"/>
      </w:pPr>
      <w:r>
        <w:t>Figur 1. Fyndplatser för naturvårdsarter i avverkningsanmälan. Markörer utan svart kant är placerade på fyndplatsen. Markörer med svart kant är placerade vid sidan av fyndplatsen och har ett svart streck som visar fyndplatsens exakta position. Kartans mittpunktskoordinat är N 7034329, E 524730 i SWEREF 99 TM.</w:t>
      </w:r>
    </w:p>
    <w:p>
      <w:r>
        <w:t>I avverkningsanmälan finns fynd av 1 naturvårdsarter, varav 1 är rödlistad: rödbrun klubbdyna (NT). Se Figur 1.</w:t>
      </w:r>
    </w:p>
    <w:p>
      <w:r>
        <w:t>Nedan presenteras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 och fridlysta arter</w:t>
      </w:r>
    </w:p>
    <w:p>
      <w:r>
        <w:t>Nedan följer beskrivningar av de naturvårdsarter och fridlysta arter som har sina livsmiljöer och växtplatser i den avverkningsanmälda skogen. De påträffade naturvårdsarterna är ett tydligt kvitto på att det rör sig om en skog med höga naturvärden.</w:t>
      </w:r>
    </w:p>
    <w:p>
      <w:r>
        <w:rPr>
          <w:b/>
        </w:rPr>
        <w:t>Rödbrun klubbdyna (NT)</w:t>
      </w:r>
      <w:r>
        <w:t xml:space="preserve"> är placerad högst upp i Skogsstyrelsens värdepyramid för bedömning av skog med höga naturvärden och indikerar örtrika kalkgranskogar med höga eller mycket höga naturvärden. All form av skogsavverkning eller annan exploatering utgör ett hot och artens växtplatser bör skyddas och lämnas orörda så att en mossrik granskogsmiljö bibehålls (SLU Artdatabanken, 2024; Nitare &amp; Skogsstyrelsen, 2019).</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1 naturvårdsarter varav 1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2026-10-13</w:t>
      <w:br/>
      <w:br/>
    </w:r>
    <w:r>
      <w:t>Till: SCA</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