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60753-2023 i Strömsunds kommun</w:t>
      </w:r>
    </w:p>
    <w:p>
      <w:r>
        <w:t>Denna tillsynsbegäran behandlar höga naturvärden i avverkningsanmälan A 60753-2023 i Strömsunds kommun som inkom 2023-11-29 och omfattar 41,2 ha.</w:t>
      </w:r>
    </w:p>
    <w:p>
      <w:pPr>
        <w:pStyle w:val="Caption"/>
      </w:pPr>
      <w:r>
        <w:drawing>
          <wp:inline xmlns:a="http://schemas.openxmlformats.org/drawingml/2006/main" xmlns:pic="http://schemas.openxmlformats.org/drawingml/2006/picture">
            <wp:extent cx="5135453" cy="5724000"/>
            <wp:docPr id="1" name="Picture 1"/>
            <wp:cNvGraphicFramePr>
              <a:graphicFrameLocks noChangeAspect="1"/>
            </wp:cNvGraphicFramePr>
            <a:graphic>
              <a:graphicData uri="http://schemas.openxmlformats.org/drawingml/2006/picture">
                <pic:pic>
                  <pic:nvPicPr>
                    <pic:cNvPr id="0" name="A 60753-2023 karta.png"/>
                    <pic:cNvPicPr/>
                  </pic:nvPicPr>
                  <pic:blipFill>
                    <a:blip r:embed="rId16"/>
                    <a:stretch>
                      <a:fillRect/>
                    </a:stretch>
                  </pic:blipFill>
                  <pic:spPr>
                    <a:xfrm>
                      <a:off x="0" y="0"/>
                      <a:ext cx="513545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7116521, E 508978 i SWEREF 99 TM.</w:t>
      </w:r>
    </w:p>
    <w:p>
      <w:r>
        <w:t>I och inom 12 meter från avverkningsanmälan finns fynd av 40 naturvårdsarter, varav 23 är rödlistade, 8 är fridlysta, 30 är typiska (T) och 13 är signalarter (S): blackticka (VU), doftticka (VU, T, §8), garnlav (VU, T), knärot (VU, T, §8), lappticka (VU, T), liten aspgelélav (VU, T), norsk näverlav (VU), Skeletocutis delicata (VU), smalskaftslav (VU), ulltickeporing (VU), doftskinn (NT, T), harticka (NT, T), kötticka (NT), lunglav (NT, T), rosenticka (NT, T), rynkskinn (NT, T), skrovellav (NT, T), stiftgelélav (NT, T), stjärntagging (NT, T), talltita (NT, §4), tretåig hackspett (NT, T, §4), ullticka (NT, T), vedtrappmossa (NT, T), bårdlav (S, T), korallblylav (S, T), kransrams (S, T), luddlav (S, T), rödgul trumpetsvamp (S), skinnlav (S, T), stor aspticka (S, T), stuplav (S, T), svavelriska (S), tibast (S, T), trådticka (S, T), underviol (S, T), vedticka (S, T), järpe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56 fyndplatser för knärot registrerade på Artportalen. Figur 2 visar gränserna för buffertzoner på 50 m, som behöver lämnas kring fyndplatserna för att knärotslokalerna inte ska försvinna vid en avverkning. Av det avverkningsanmälda området överlappar 19.62 ha med buffertzonerna och får av detta skäl inte avverkas.</w:t>
      </w:r>
    </w:p>
    <w:p>
      <w:pPr>
        <w:pStyle w:val="Caption"/>
      </w:pPr>
      <w:r>
        <w:drawing>
          <wp:inline xmlns:a="http://schemas.openxmlformats.org/drawingml/2006/main" xmlns:pic="http://schemas.openxmlformats.org/drawingml/2006/picture">
            <wp:extent cx="5486400" cy="5563700"/>
            <wp:docPr id="2" name="Picture 2"/>
            <wp:cNvGraphicFramePr>
              <a:graphicFrameLocks noChangeAspect="1"/>
            </wp:cNvGraphicFramePr>
            <a:graphic>
              <a:graphicData uri="http://schemas.openxmlformats.org/drawingml/2006/picture">
                <pic:pic>
                  <pic:nvPicPr>
                    <pic:cNvPr id="0" name="A 60753-2023 karta knärot.png"/>
                    <pic:cNvPicPr/>
                  </pic:nvPicPr>
                  <pic:blipFill>
                    <a:blip r:embed="rId17"/>
                    <a:stretch>
                      <a:fillRect/>
                    </a:stretch>
                  </pic:blipFill>
                  <pic:spPr>
                    <a:xfrm>
                      <a:off x="0" y="0"/>
                      <a:ext cx="5486400" cy="5563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7116521, E 508978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lappticka (VU, T), liten aspgelélav (VU, T), doftskinn (NT, T), harticka (NT, T), lunglav (NT, T), rosenticka (NT, T), rynkskinn (NT, T), skrovellav (NT, T), stiftgelélav (NT, T), stjärntagging (NT, T), tretåig hackspett (NT, T, §4), ullticka (NT, T), vedtrappmossa (NT, T), bårdlav (S, T), korallblylav (S, T), kransrams (S, T), luddlav (S, T), skinnlav (S, T), stor aspticka (S, T), stuplav (S, T), tibast (S, T), trådticka (S, T), underviol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