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44 naturvårdsarter, varav 33 är rödlistade, 3 är fridlysta, 23 är typiska (T) och 10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barkkornlav (S, T), bårdlav (S, T), gytterlav (S, T), korallblylav (S, T), kransrams (S, T), rostfläck (S, T), sotlav (S, T), strutbräken (S, T), stuplav (S, T), trådticka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harticka (NT, T), lavskrika (NT, T, §4), lunglav (NT, T), rödbrun blekspik (NT, T), skrovellav (NT, T), tretåig hackspett (NT, T, §4), vedtrappmossa (NT, T), barkkornlav (S, T), bårdlav (S, T), gytterlav (S, T), korallblylav (S, T), kransrams (S, T), rostfläck (S, T), sotlav (S, T), strutbräken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