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27999-2025 i Strömsunds kommun</w:t>
      </w:r>
    </w:p>
    <w:p>
      <w:r>
        <w:t>Detta klagomål behandlar höga naturvärden i avverkningsanmälan A 27999-2025 i Strömsunds kommun som inkom 2025-06-09 och omfattar 7,5 ha.</w:t>
      </w:r>
    </w:p>
    <w:p>
      <w:pPr>
        <w:pStyle w:val="Caption"/>
      </w:pPr>
      <w:r>
        <w:drawing>
          <wp:inline xmlns:a="http://schemas.openxmlformats.org/drawingml/2006/main" xmlns:pic="http://schemas.openxmlformats.org/drawingml/2006/picture">
            <wp:extent cx="5486400" cy="4680570"/>
            <wp:docPr id="1" name="Picture 1"/>
            <wp:cNvGraphicFramePr>
              <a:graphicFrameLocks noChangeAspect="1"/>
            </wp:cNvGraphicFramePr>
            <a:graphic>
              <a:graphicData uri="http://schemas.openxmlformats.org/drawingml/2006/picture">
                <pic:pic>
                  <pic:nvPicPr>
                    <pic:cNvPr id="0" name="A 27999-2025 karta.png"/>
                    <pic:cNvPicPr/>
                  </pic:nvPicPr>
                  <pic:blipFill>
                    <a:blip r:embed="rId16"/>
                    <a:stretch>
                      <a:fillRect/>
                    </a:stretch>
                  </pic:blipFill>
                  <pic:spPr>
                    <a:xfrm>
                      <a:off x="0" y="0"/>
                      <a:ext cx="5486400" cy="4680570"/>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7078406, E 571943 i SWEREF 99 TM.</w:t>
      </w:r>
    </w:p>
    <w:p>
      <w:r>
        <w:t>I och inom 24 meter från avverkningsanmälan finns fynd av 24 naturvårdsarter, varav 22 är rödlistade, 5 är fridlysta, 16 är typiska (T) och 2 är signalarter (S): garnlav (VU, T), gräddporing (VU, T), knärot (VU, T, §8), skrovlig taggsvamp (VU), smalfotad taggsvamp (VU), blå taggsvamp (NT, T), dropptaggsvamp (NT, T), dvärgbägarlav (NT, T), kolflarnlav (NT, T), lavskrika (NT, T, §4), motaggsvamp (NT, T), mörk kolflarnlav (NT), skarp dropptaggsvamp (NT), svartvit taggsvamp (NT), tallkötticka (NT), talltagel (NT, T), tallticka (NT, T), talltita (NT, §4), tretåig hackspett (NT, T, §4), ullticka (NT, T), vaddporing (NT), vedskivlav (NT, T), flagellkvastmossa (S, T) och plattlummer (S,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4 fyndplatser för knärot registrerade på Artportalen. Figur 2 visar gränserna för buffertzoner på 50 m, som behöver lämnas kring fyndplatserna för att knärotslokalerna inte ska försvinna vid en avverkning. Av det avverkningsanmälda området överlappar 0.46 ha med buffertzonerna och får av detta skäl inte avverkas.</w:t>
      </w:r>
    </w:p>
    <w:p>
      <w:pPr>
        <w:pStyle w:val="Caption"/>
      </w:pPr>
      <w:r>
        <w:drawing>
          <wp:inline xmlns:a="http://schemas.openxmlformats.org/drawingml/2006/main" xmlns:pic="http://schemas.openxmlformats.org/drawingml/2006/picture">
            <wp:extent cx="5486400" cy="6020145"/>
            <wp:docPr id="2" name="Picture 2"/>
            <wp:cNvGraphicFramePr>
              <a:graphicFrameLocks noChangeAspect="1"/>
            </wp:cNvGraphicFramePr>
            <a:graphic>
              <a:graphicData uri="http://schemas.openxmlformats.org/drawingml/2006/picture">
                <pic:pic>
                  <pic:nvPicPr>
                    <pic:cNvPr id="0" name="A 27999-2025 karta knärot.png"/>
                    <pic:cNvPicPr/>
                  </pic:nvPicPr>
                  <pic:blipFill>
                    <a:blip r:embed="rId17"/>
                    <a:stretch>
                      <a:fillRect/>
                    </a:stretch>
                  </pic:blipFill>
                  <pic:spPr>
                    <a:xfrm>
                      <a:off x="0" y="0"/>
                      <a:ext cx="5486400" cy="6020145"/>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7078406, E 571943 i SWEREF 99 TM.</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Tallkötticka (NT)</w:t>
      </w:r>
      <w:r>
        <w:t xml:space="preserve"> är tallens kötticka och har ofta ett mer resupinat växtsätt än den granlevande köttickan </w:t>
      </w:r>
      <w:r>
        <w:rPr>
          <w:i/>
        </w:rPr>
        <w:t>Leptoporus mollis</w:t>
      </w:r>
      <w:r>
        <w:t>. Artens förekomstarea och utbredning i Sverige är inte känd, men utifrån de fynd som rapporteras av kötticka på tall verkar den vara mer ovanlig än den granlevande. Den totala populationen bedöms därför ha minskat under de senaste 30 åren och fortsätter att minska i takt med att kontinuitetsskogar (skogar som inte kalavverkats) minskar i areal, samtidigt som att lämpliga miljöer inte återskapas i samma takt. Minskningstakten för den svenska populationen bedöms vara nära gränsvärdet för Sårbar (VU). (A2c+3c+4c)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24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24 naturvårdsarter varav 22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