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45089-2026 i Strömsunds kommun</w:t>
      </w:r>
    </w:p>
    <w:p>
      <w:r>
        <w:t>Denna tillsynsbegäran behandlar höga naturvärden i avverkningsanmälan A 45089-2026 i Strömsunds kommun som inkom 2026-10-29 och omfattar 911,7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5089-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7137415, E 465596 i SWEREF 99 TM.</w:t>
      </w:r>
    </w:p>
    <w:p>
      <w:r>
        <w:t>I och inom 22 meter från avverkningsanmälan finns fynd av 22 naturvårdsarter, varav 9 är rödlistade, 6 är fridlysta, 10 är typiska (T) och 8 är signalarter (S): norsk näverlav (VU), sprickporing (VU), doftskinn (NT, T), gammelgransskål (NT, T), skrovellav (NT, T), sotvaxskivling (NT), ullticka (NT, T), vitgrynig nållav (NT), äggvaxskivling (NT), finbräken (S, T), gräsull (S), kransrams (S, T), spindelblomster (S, T, §8), svavelriska (S), trådticka (S, T), vedticka (S, T), ögonpyrola (S, T), brudsporre (§8), fläcknycklar (§8), vanliga ängsnycklar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gammelgransskål (NT, T), skrovellav (NT, T), ullticka (NT, T), finbräken (S, T), kransrams (S, T), spindelblomster (S, T, §8),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