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27624-2025 i Strömsunds kommun</w:t>
      </w:r>
    </w:p>
    <w:p>
      <w:r>
        <w:t>Detta klagomål behandlar höga naturvärden i avverkningsanmälan A 27624-2025 i Strömsunds kommun som inkom 2025-06-05 och omfattar 5,1 ha.</w:t>
      </w:r>
    </w:p>
    <w:p>
      <w:pPr>
        <w:pStyle w:val="Caption"/>
      </w:pPr>
      <w:r>
        <w:drawing>
          <wp:inline xmlns:a="http://schemas.openxmlformats.org/drawingml/2006/main" xmlns:pic="http://schemas.openxmlformats.org/drawingml/2006/picture">
            <wp:extent cx="5486400" cy="5610834"/>
            <wp:docPr id="1" name="Picture 1"/>
            <wp:cNvGraphicFramePr>
              <a:graphicFrameLocks noChangeAspect="1"/>
            </wp:cNvGraphicFramePr>
            <a:graphic>
              <a:graphicData uri="http://schemas.openxmlformats.org/drawingml/2006/picture">
                <pic:pic>
                  <pic:nvPicPr>
                    <pic:cNvPr id="0" name="A 27624-2025 karta.png"/>
                    <pic:cNvPicPr/>
                  </pic:nvPicPr>
                  <pic:blipFill>
                    <a:blip r:embed="rId16"/>
                    <a:stretch>
                      <a:fillRect/>
                    </a:stretch>
                  </pic:blipFill>
                  <pic:spPr>
                    <a:xfrm>
                      <a:off x="0" y="0"/>
                      <a:ext cx="5486400" cy="561083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7036561, E 522079 i SWEREF 99 TM.</w:t>
      </w:r>
    </w:p>
    <w:p>
      <w:r>
        <w:t>I och inom 22 meter från avverkningsanmälan finns fynd av 6 naturvårdsarter, varav 5 är rödlistade, 1 är fridlyst och 4 är typiska (T): puderspindling (NT), rosenticka (NT, T), skuggblåslav (NT, T), vedtrappmossa (NT, T), äggvaxskivling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Puderspindling (NT) </w:t>
      </w:r>
      <w:r>
        <w:t>bildar mykorrhiza med gran och växer i äldre ängsgranskog på kalkrik mark. Påträffas ofta i myrstackar. Storskaligt skogsbruk med kalavverkning och markberedning eller kraftig gallring är det främsta hotet mot arten. På sikt är det ett problem att skogar av denna typ, med stort inslag av äldre träd inte nybildas. Ett fullständigt skydd för artens lokaler bör övervägas. Där avverkning ändå tillåts måste den ske försiktigt så att kontinuiteten i trädskiktet inte bryts. Ett tillräckligt antal äldre träd måste finnas kvar i beståndet. Det är önskvärt med stor naturvårdshänsyn i alla områden med äldre granskog på näringsrik mark oavsett om dess flora är känd eller ej (SLU Artdatabanken, 2025).</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