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54906-2022 i Strömsunds kommun</w:t>
      </w:r>
    </w:p>
    <w:p>
      <w:r>
        <w:t>Detta dokument behandlar höga naturvärden i avverkningsanmälan A 54906-2022 i Strömsunds kommun. Denna avverkningsanmälan inkom 2022-11-21 och omfattar 20,9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finnstarr (VU, §8), ulltickeporing (VU), lunglav (NT), månlåsbräken (NT), tretåig hackspett (NT, §4), ullticka (NT), finbräken (S), gytterlav (S), korallrot (S, §8), kransrams (S), spindelblomster (S, §8), stuplav (S) och äkta lopplummer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63316"/>
            <wp:docPr id="1" name="Picture 1"/>
            <wp:cNvGraphicFramePr>
              <a:graphicFrameLocks noChangeAspect="1"/>
            </wp:cNvGraphicFramePr>
            <a:graphic>
              <a:graphicData uri="http://schemas.openxmlformats.org/drawingml/2006/picture">
                <pic:pic>
                  <pic:nvPicPr>
                    <pic:cNvPr id="0" name="A 54906-2022 karta.png"/>
                    <pic:cNvPicPr/>
                  </pic:nvPicPr>
                  <pic:blipFill>
                    <a:blip r:embed="rId16"/>
                    <a:stretch>
                      <a:fillRect/>
                    </a:stretch>
                  </pic:blipFill>
                  <pic:spPr>
                    <a:xfrm>
                      <a:off x="0" y="0"/>
                      <a:ext cx="5486400" cy="5963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7052135, E 506179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finnstarr (VU, §8), tretåig hackspett (NT, §4), korallrot (S, §8), spindelblomster (S, §8) och äkta lopplummer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Finnstarr (VU, §8)</w:t>
      </w:r>
      <w:r>
        <w:t xml:space="preserve"> är känd från tre lokaler, en vardera i Hälsingland, Jämtland och Åsele lappmark. De svenska lokalerna beskrivs som sumpskog, litet kärr bevuxet med alskog och översilad granskog. Under 2013 hittades en ny lokal, i mer öppen kärrmiljö, intill den tidigare kända i Hälsingland. Dränering, skogsbruk och exploatering av omgivande mark utgör ett hot och förekomsterna med finnstarr bör få någon form av skydd och de bör kontrolleras regelbundet. Arten är fridlyst enligt 8 § artskyddsförordningen och på den europeiska rödlistan är den rödlistad som DD (Kunskapsbrist) (SLU Artdatabanken, 2024; IUCN, 2011).</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