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49534-2024 i Åre kommun</w:t>
      </w:r>
    </w:p>
    <w:p>
      <w:r>
        <w:t>Detta klagomål behandlar höga naturvärden i avverkningsanmälan A 49534-2024 i Åre kommun som inkom 2024-10-31 och omfattar 3,7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49534-2024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7039091, E 416127 i SWEREF 99 TM.</w:t>
      </w:r>
    </w:p>
    <w:p>
      <w:r>
        <w:t>I och inom 23 meter från avverkningsanmälan finns fynd av 19 naturvårdsarter, varav 13 är rödlistade, 1 är fridlyst, 12 är typiska (T) och 6 är signalarter (S): almlav (EN, T), fjällig knopplav (VU), garnlav (VU, T), läderlappslav (VU, T), smalskaftslav (VU), barkporlav (NT), gammelgransskål (NT, T), grynig filtlav (NT, T), kalkbräken (NT), liten svartspik (NT), skrovellav (NT, T), tretåig hackspett (NT, T, §4), vitgrynig nållav (NT), guldlockmossa (S, T), gytterlav (S, T), platt fjädermossa (S, T), skinnlav (S, T), skogstimmia (S)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Fjällig knopplav (VU)</w:t>
      </w:r>
      <w:r>
        <w:t xml:space="preserve"> växer på gamla granar i grandominerade skogar med hög och jämn luftfuktighet. Avverkning av kontinuitetsskog i norra Sverige är ett hot. Alla växtplatser måste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