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42592-2024 i Åre kommun</w:t>
      </w:r>
    </w:p>
    <w:p>
      <w:r>
        <w:t>Denna tillsynsbegäran behandlar höga naturvärden i avverkningsanmälan A 42592-2024 i Åre kommun som inkom 2024-09-30 och omfattar 4,4 ha.</w:t>
      </w:r>
    </w:p>
    <w:p>
      <w:pPr>
        <w:pStyle w:val="Caption"/>
      </w:pPr>
      <w:r>
        <w:drawing>
          <wp:inline xmlns:a="http://schemas.openxmlformats.org/drawingml/2006/main" xmlns:pic="http://schemas.openxmlformats.org/drawingml/2006/picture">
            <wp:extent cx="5486400" cy="4551147"/>
            <wp:docPr id="1" name="Picture 1"/>
            <wp:cNvGraphicFramePr>
              <a:graphicFrameLocks noChangeAspect="1"/>
            </wp:cNvGraphicFramePr>
            <a:graphic>
              <a:graphicData uri="http://schemas.openxmlformats.org/drawingml/2006/picture">
                <pic:pic>
                  <pic:nvPicPr>
                    <pic:cNvPr id="0" name="A 42592-2024 karta.png"/>
                    <pic:cNvPicPr/>
                  </pic:nvPicPr>
                  <pic:blipFill>
                    <a:blip r:embed="rId16"/>
                    <a:stretch>
                      <a:fillRect/>
                    </a:stretch>
                  </pic:blipFill>
                  <pic:spPr>
                    <a:xfrm>
                      <a:off x="0" y="0"/>
                      <a:ext cx="5486400" cy="4551147"/>
                    </a:xfrm>
                    <a:prstGeom prst="rect"/>
                  </pic:spPr>
                </pic:pic>
              </a:graphicData>
            </a:graphic>
          </wp:inline>
        </w:drawing>
      </w:r>
    </w:p>
    <w:p>
      <w:pPr>
        <w:pStyle w:val="Caption"/>
        <w:spacing w:after="240"/>
      </w:pPr>
      <w:r>
        <w:t>Figur 1. Fyndplatser för naturvårdsarter i och inom 2 meter från avverkningsanmälan. Markörer utan svart kant är placerade på fyndplatsen. Markörer med svart kant är placerade vid sidan av fyndplatsen och har ett svart streck som visar fyndplatsens exakta position. Kartans mittpunktskoordinat är N 7064369, E 396079 i SWEREF 99 TM.</w:t>
      </w:r>
    </w:p>
    <w:p>
      <w:r>
        <w:t>I och inom 2 meter från avverkningsanmälan finns fynd av 9 naturvårdsarter, varav 7 är rödlistade, 2 är fridlysta, 8 är typiska (T) och 2 är signalarter (S): garnlav (VU, T), gränsticka (VU, T), norsk näverlav (VU), lavskrika (NT, T, §4), skrovellav (NT, T), tretåig hackspett (NT, T, §4), ullticka (NT, T), kambräken (S, T) och trådticka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Norsk näverlav (VU)</w:t>
      </w:r>
      <w:r>
        <w:t>, rödlistad som sårbar, är en suboceanisk art och påträffas bara i områden med hög och jämn luftfuktighet. Den växer i fuktiga granskogar, främst på stammar eller grenar av äldre björkar och granar. Arten är placerad i toppen av Skogsstyrelsens värdepyramid för bedömning av skog med höga naturvärden och försvinner eller missgynnas starkt vid all form av avverkning på eller i anslutning till lokalerna. Norsk näverlav har en hög andel av sin världspopulation i Norge och Sverige vilket medför ett särskilt ansvar för arten (Nitare &amp; Skogsstyrelsen, 2019; SLU Artdatabanken, 2024).</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Kambräken</w:t>
      </w:r>
      <w:r>
        <w:t xml:space="preserve"> är i mellersta och östra Sverige en bra signalart som indikerar fuktiga skogsmiljöer med höga naturvärden. Ofta rör det sig om reliktförekomster i kontinuitetsskogar på källpåverkade marker och marker med ytligt rörligt markvatten. Växten är i mellersta och östra Sverige starkt känslig för avverkning som kan medföra ökad frostrisk på växtplatsen liksom alla former av markavvattning och körskador. Kambräken är typisk art för </w:t>
      </w:r>
      <w:r>
        <w:rPr>
          <w:i/>
        </w:rPr>
        <w:t xml:space="preserve">9040 Fjällbjörkskog </w:t>
      </w:r>
      <w:r>
        <w:t xml:space="preserve">och </w:t>
      </w:r>
      <w:r>
        <w:rPr>
          <w:i/>
        </w:rPr>
        <w:t>7160 Källor och källkärr</w:t>
      </w:r>
      <w:r>
        <w:t xml:space="preserve"> (Nitare &amp; Skogsstyrelsen, 2019; SLU Artdatabanken, 2025).</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gränsticka (VU, T), lavskrika (NT, T, §4), skrovellav (NT, T), tretåig hackspett (NT, T, §4), ullticka (NT, T), kambräken (S, T) och trådticka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